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51671F">
      <w:pPr>
        <w:keepNext w:val="0"/>
        <w:keepLines w:val="0"/>
        <w:pageBreakBefore w:val="0"/>
        <w:widowControl w:val="0"/>
        <w:suppressLineNumbers w:val="0"/>
        <w:suppressAutoHyphens w:val="0"/>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仿宋_GB2312" w:cs="Times New Roman"/>
          <w:sz w:val="32"/>
          <w:szCs w:val="32"/>
          <w:lang w:eastAsia="zh-CN"/>
        </w:rPr>
      </w:pPr>
    </w:p>
    <w:p w14:paraId="2453A2E6">
      <w:pPr>
        <w:pStyle w:val="13"/>
        <w:keepNext w:val="0"/>
        <w:keepLines w:val="0"/>
        <w:pageBreakBefore w:val="0"/>
        <w:widowControl/>
        <w:suppressLineNumbers w:val="0"/>
        <w:suppressAutoHyphens w:val="0"/>
        <w:kinsoku/>
        <w:wordWrap/>
        <w:overflowPunct/>
        <w:topLinePunct w:val="0"/>
        <w:autoSpaceDE/>
        <w:autoSpaceDN/>
        <w:bidi w:val="0"/>
        <w:spacing w:after="0" w:line="560" w:lineRule="exact"/>
        <w:ind w:left="0" w:leftChars="0" w:firstLine="640" w:firstLineChars="200"/>
        <w:jc w:val="both"/>
        <w:textAlignment w:val="auto"/>
        <w:rPr>
          <w:rFonts w:hint="default" w:ascii="Times New Roman" w:hAnsi="Times New Roman" w:eastAsia="仿宋_GB2312" w:cs="Times New Roman"/>
          <w:sz w:val="32"/>
          <w:szCs w:val="32"/>
        </w:rPr>
      </w:pPr>
    </w:p>
    <w:p w14:paraId="49ECB731">
      <w:pPr>
        <w:keepNext w:val="0"/>
        <w:keepLines w:val="0"/>
        <w:pageBreakBefore w:val="0"/>
        <w:widowControl w:val="0"/>
        <w:suppressLineNumbers w:val="0"/>
        <w:suppressAutoHyphens w:val="0"/>
        <w:kinsoku/>
        <w:wordWrap/>
        <w:overflowPunct/>
        <w:topLinePunct w:val="0"/>
        <w:autoSpaceDE/>
        <w:autoSpaceDN/>
        <w:bidi w:val="0"/>
        <w:spacing w:line="560" w:lineRule="exact"/>
        <w:ind w:left="0" w:leftChars="0" w:firstLine="640" w:firstLineChars="200"/>
        <w:jc w:val="both"/>
        <w:textAlignment w:val="auto"/>
        <w:rPr>
          <w:rFonts w:hint="default" w:ascii="Times New Roman" w:hAnsi="Times New Roman" w:eastAsia="仿宋_GB2312" w:cs="Times New Roman"/>
          <w:sz w:val="32"/>
          <w:szCs w:val="32"/>
        </w:rPr>
      </w:pPr>
    </w:p>
    <w:p w14:paraId="0615CFE5">
      <w:pPr>
        <w:pStyle w:val="13"/>
        <w:keepNext w:val="0"/>
        <w:keepLines w:val="0"/>
        <w:pageBreakBefore w:val="0"/>
        <w:widowControl/>
        <w:suppressLineNumbers w:val="0"/>
        <w:suppressAutoHyphens w:val="0"/>
        <w:kinsoku/>
        <w:wordWrap/>
        <w:overflowPunct/>
        <w:topLinePunct w:val="0"/>
        <w:autoSpaceDE/>
        <w:autoSpaceDN/>
        <w:bidi w:val="0"/>
        <w:spacing w:after="0" w:line="560" w:lineRule="exact"/>
        <w:ind w:left="0" w:leftChars="0" w:firstLine="640" w:firstLineChars="200"/>
        <w:jc w:val="both"/>
        <w:textAlignment w:val="auto"/>
        <w:rPr>
          <w:rFonts w:hint="default" w:ascii="Times New Roman" w:hAnsi="Times New Roman" w:eastAsia="仿宋_GB2312" w:cs="Times New Roman"/>
          <w:sz w:val="32"/>
          <w:szCs w:val="32"/>
        </w:rPr>
      </w:pPr>
    </w:p>
    <w:p w14:paraId="77E4354A">
      <w:pPr>
        <w:keepNext w:val="0"/>
        <w:keepLines w:val="0"/>
        <w:pageBreakBefore w:val="0"/>
        <w:widowControl w:val="0"/>
        <w:suppressLineNumbers w:val="0"/>
        <w:suppressAutoHyphens w:val="0"/>
        <w:kinsoku/>
        <w:wordWrap/>
        <w:overflowPunct/>
        <w:topLinePunct w:val="0"/>
        <w:autoSpaceDE/>
        <w:autoSpaceDN/>
        <w:bidi w:val="0"/>
        <w:spacing w:line="560" w:lineRule="exact"/>
        <w:ind w:left="0" w:leftChars="0" w:firstLine="640" w:firstLineChars="200"/>
        <w:jc w:val="both"/>
        <w:textAlignment w:val="auto"/>
        <w:rPr>
          <w:rFonts w:hint="default" w:ascii="Times New Roman" w:hAnsi="Times New Roman" w:eastAsia="仿宋_GB2312" w:cs="Times New Roman"/>
          <w:sz w:val="32"/>
          <w:szCs w:val="32"/>
        </w:rPr>
      </w:pPr>
    </w:p>
    <w:p w14:paraId="3EA41298">
      <w:pPr>
        <w:keepNext w:val="0"/>
        <w:keepLines w:val="0"/>
        <w:pageBreakBefore w:val="0"/>
        <w:kinsoku/>
        <w:wordWrap/>
        <w:overflowPunct/>
        <w:topLinePunct w:val="0"/>
        <w:autoSpaceDE/>
        <w:autoSpaceDN/>
        <w:bidi w:val="0"/>
        <w:spacing w:line="560" w:lineRule="exact"/>
        <w:ind w:left="0" w:leftChars="0" w:firstLine="640" w:firstLineChars="200"/>
        <w:jc w:val="righ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鸡环审〔202</w:t>
      </w: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53</w:t>
      </w:r>
      <w:r>
        <w:rPr>
          <w:rFonts w:hint="default" w:ascii="Times New Roman" w:hAnsi="Times New Roman" w:eastAsia="仿宋_GB2312" w:cs="Times New Roman"/>
          <w:sz w:val="32"/>
          <w:szCs w:val="32"/>
        </w:rPr>
        <w:t>号</w:t>
      </w:r>
    </w:p>
    <w:p w14:paraId="39332E71">
      <w:pPr>
        <w:keepNext w:val="0"/>
        <w:keepLines w:val="0"/>
        <w:pageBreakBefore w:val="0"/>
        <w:kinsoku/>
        <w:wordWrap/>
        <w:overflowPunct/>
        <w:topLinePunct w:val="0"/>
        <w:autoSpaceDE/>
        <w:autoSpaceDN/>
        <w:bidi w:val="0"/>
        <w:spacing w:line="560" w:lineRule="exact"/>
        <w:ind w:left="0" w:leftChars="0" w:firstLine="640" w:firstLineChars="200"/>
        <w:jc w:val="both"/>
        <w:textAlignment w:val="auto"/>
        <w:rPr>
          <w:rFonts w:hint="default" w:ascii="Times New Roman" w:hAnsi="Times New Roman" w:eastAsia="仿宋_GB2312" w:cs="Times New Roman"/>
          <w:bCs/>
          <w:sz w:val="32"/>
          <w:szCs w:val="32"/>
          <w:shd w:val="clear" w:color="auto" w:fill="auto"/>
        </w:rPr>
      </w:pPr>
    </w:p>
    <w:p w14:paraId="13C95181">
      <w:pPr>
        <w:pStyle w:val="14"/>
        <w:keepNext w:val="0"/>
        <w:keepLines w:val="0"/>
        <w:pageBreakBefore w:val="0"/>
        <w:widowControl/>
        <w:kinsoku/>
        <w:wordWrap/>
        <w:overflowPunct/>
        <w:topLinePunct w:val="0"/>
        <w:autoSpaceDE/>
        <w:autoSpaceDN/>
        <w:bidi w:val="0"/>
        <w:adjustRightInd/>
        <w:snapToGrid/>
        <w:spacing w:beforeAutospacing="0" w:afterAutospacing="0" w:line="600" w:lineRule="exact"/>
        <w:ind w:left="0" w:leftChars="0" w:firstLine="0" w:firstLineChars="0"/>
        <w:jc w:val="center"/>
        <w:textAlignment w:val="auto"/>
        <w:rPr>
          <w:rFonts w:hint="eastAsia" w:ascii="方正小标宋_GBK" w:hAnsi="方正小标宋_GBK" w:eastAsia="方正小标宋_GBK" w:cs="方正小标宋_GBK"/>
          <w:spacing w:val="-6"/>
          <w:kern w:val="2"/>
          <w:sz w:val="44"/>
          <w:szCs w:val="44"/>
          <w:shd w:val="clear" w:color="auto" w:fill="auto"/>
        </w:rPr>
      </w:pPr>
      <w:r>
        <w:rPr>
          <w:rFonts w:hint="eastAsia" w:ascii="方正小标宋_GBK" w:hAnsi="方正小标宋_GBK" w:eastAsia="方正小标宋_GBK" w:cs="方正小标宋_GBK"/>
          <w:spacing w:val="-6"/>
          <w:sz w:val="44"/>
          <w:szCs w:val="44"/>
          <w:shd w:val="clear" w:color="auto" w:fill="auto"/>
        </w:rPr>
        <w:t>关</w:t>
      </w:r>
      <w:r>
        <w:rPr>
          <w:rFonts w:hint="eastAsia" w:ascii="方正小标宋_GBK" w:hAnsi="方正小标宋_GBK" w:eastAsia="方正小标宋_GBK" w:cs="方正小标宋_GBK"/>
          <w:spacing w:val="-6"/>
          <w:kern w:val="2"/>
          <w:sz w:val="44"/>
          <w:szCs w:val="44"/>
          <w:shd w:val="clear" w:color="auto" w:fill="auto"/>
        </w:rPr>
        <w:t>于黑龙江省鸡西市密山市生活垃圾焚烧</w:t>
      </w:r>
    </w:p>
    <w:p w14:paraId="72CF74BF">
      <w:pPr>
        <w:pStyle w:val="14"/>
        <w:keepNext w:val="0"/>
        <w:keepLines w:val="0"/>
        <w:pageBreakBefore w:val="0"/>
        <w:widowControl/>
        <w:kinsoku/>
        <w:wordWrap/>
        <w:overflowPunct/>
        <w:topLinePunct w:val="0"/>
        <w:autoSpaceDE/>
        <w:autoSpaceDN/>
        <w:bidi w:val="0"/>
        <w:adjustRightInd/>
        <w:snapToGrid/>
        <w:spacing w:beforeAutospacing="0" w:afterAutospacing="0" w:line="600" w:lineRule="exact"/>
        <w:ind w:left="0" w:leftChars="0" w:firstLine="0" w:firstLineChars="0"/>
        <w:jc w:val="center"/>
        <w:textAlignment w:val="auto"/>
        <w:rPr>
          <w:rFonts w:hint="eastAsia" w:ascii="方正小标宋_GBK" w:hAnsi="方正小标宋_GBK" w:eastAsia="方正小标宋_GBK" w:cs="方正小标宋_GBK"/>
          <w:spacing w:val="-6"/>
          <w:kern w:val="2"/>
          <w:sz w:val="44"/>
          <w:szCs w:val="44"/>
          <w:shd w:val="clear" w:color="auto" w:fill="auto"/>
        </w:rPr>
      </w:pPr>
      <w:r>
        <w:rPr>
          <w:rFonts w:hint="eastAsia" w:ascii="方正小标宋_GBK" w:hAnsi="方正小标宋_GBK" w:eastAsia="方正小标宋_GBK" w:cs="方正小标宋_GBK"/>
          <w:spacing w:val="-6"/>
          <w:kern w:val="2"/>
          <w:sz w:val="44"/>
          <w:szCs w:val="44"/>
          <w:shd w:val="clear" w:color="auto" w:fill="auto"/>
        </w:rPr>
        <w:t>处理项目</w:t>
      </w:r>
      <w:r>
        <w:rPr>
          <w:rFonts w:hint="eastAsia" w:ascii="方正小标宋_GBK" w:hAnsi="方正小标宋_GBK" w:eastAsia="方正小标宋_GBK" w:cs="方正小标宋_GBK"/>
          <w:spacing w:val="-6"/>
          <w:kern w:val="2"/>
          <w:sz w:val="44"/>
          <w:szCs w:val="44"/>
          <w:shd w:val="clear" w:color="auto" w:fill="auto"/>
          <w:lang w:val="en-US" w:eastAsia="zh-CN"/>
        </w:rPr>
        <w:t>生态</w:t>
      </w:r>
      <w:r>
        <w:rPr>
          <w:rFonts w:hint="eastAsia" w:ascii="方正小标宋_GBK" w:hAnsi="方正小标宋_GBK" w:eastAsia="方正小标宋_GBK" w:cs="方正小标宋_GBK"/>
          <w:spacing w:val="-6"/>
          <w:kern w:val="2"/>
          <w:sz w:val="44"/>
          <w:szCs w:val="44"/>
          <w:shd w:val="clear" w:color="auto" w:fill="auto"/>
          <w:lang w:eastAsia="zh-CN"/>
        </w:rPr>
        <w:t>环境影响报告书</w:t>
      </w:r>
      <w:r>
        <w:rPr>
          <w:rFonts w:hint="eastAsia" w:ascii="方正小标宋_GBK" w:hAnsi="方正小标宋_GBK" w:eastAsia="方正小标宋_GBK" w:cs="方正小标宋_GBK"/>
          <w:spacing w:val="-6"/>
          <w:sz w:val="44"/>
          <w:szCs w:val="44"/>
          <w:shd w:val="clear" w:color="auto" w:fill="auto"/>
        </w:rPr>
        <w:t>的批复</w:t>
      </w:r>
    </w:p>
    <w:p w14:paraId="7821374F">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w:t>
      </w:r>
    </w:p>
    <w:p w14:paraId="4F744C40">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密山市住房和城乡建设局：</w:t>
      </w:r>
    </w:p>
    <w:p w14:paraId="3F350571">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color w:val="auto"/>
          <w:kern w:val="0"/>
          <w:sz w:val="32"/>
          <w:szCs w:val="32"/>
        </w:rPr>
        <w:t>你单位《关于申请</w:t>
      </w:r>
      <w:r>
        <w:rPr>
          <w:rFonts w:hint="default" w:ascii="Times New Roman" w:hAnsi="Times New Roman" w:eastAsia="仿宋_GB2312" w:cs="Times New Roman"/>
          <w:color w:val="auto"/>
          <w:kern w:val="0"/>
          <w:sz w:val="32"/>
          <w:szCs w:val="32"/>
          <w:lang w:eastAsia="zh-CN"/>
        </w:rPr>
        <w:t>审批黑龙江省鸡西市密山市生活垃圾焚烧处理项目生态</w:t>
      </w:r>
      <w:r>
        <w:rPr>
          <w:rFonts w:hint="default" w:ascii="Times New Roman" w:hAnsi="Times New Roman" w:eastAsia="仿宋_GB2312" w:cs="Times New Roman"/>
          <w:color w:val="auto"/>
          <w:spacing w:val="-6"/>
          <w:sz w:val="32"/>
          <w:szCs w:val="32"/>
        </w:rPr>
        <w:t>环境影响评价文件的函</w:t>
      </w:r>
      <w:r>
        <w:rPr>
          <w:rFonts w:hint="default" w:ascii="Times New Roman" w:hAnsi="Times New Roman" w:eastAsia="仿宋_GB2312" w:cs="Times New Roman"/>
          <w:color w:val="auto"/>
          <w:kern w:val="0"/>
          <w:sz w:val="32"/>
          <w:szCs w:val="32"/>
        </w:rPr>
        <w:t>》及相关材料收悉，经研究，批复如下。</w:t>
      </w:r>
    </w:p>
    <w:p w14:paraId="5C179784">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一、项目基本情况</w:t>
      </w:r>
    </w:p>
    <w:p w14:paraId="63D22AB6">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仿宋_GB2312" w:cs="Times New Roman"/>
          <w:color w:val="auto"/>
          <w:sz w:val="32"/>
          <w:szCs w:val="32"/>
          <w:vertAlign w:val="baseline"/>
          <w:lang w:val="en-US" w:eastAsia="zh-CN"/>
        </w:rPr>
      </w:pPr>
      <w:r>
        <w:rPr>
          <w:rFonts w:hint="default" w:ascii="Times New Roman" w:hAnsi="Times New Roman" w:eastAsia="仿宋_GB2312" w:cs="Times New Roman"/>
          <w:color w:val="auto"/>
          <w:sz w:val="32"/>
          <w:szCs w:val="32"/>
          <w:lang w:val="en-US" w:eastAsia="zh-CN"/>
        </w:rPr>
        <w:t>该项目属新建工程，</w:t>
      </w:r>
      <w:r>
        <w:rPr>
          <w:rFonts w:hint="default" w:ascii="Times New Roman" w:hAnsi="Times New Roman" w:eastAsia="仿宋_GB2312" w:cs="Times New Roman"/>
          <w:color w:val="auto"/>
          <w:sz w:val="32"/>
          <w:szCs w:val="32"/>
          <w:lang w:eastAsia="zh-CN"/>
        </w:rPr>
        <w:t>拟建</w:t>
      </w:r>
      <w:r>
        <w:rPr>
          <w:rFonts w:hint="default" w:ascii="Times New Roman" w:hAnsi="Times New Roman" w:eastAsia="仿宋_GB2312" w:cs="Times New Roman"/>
          <w:color w:val="auto"/>
          <w:sz w:val="32"/>
          <w:szCs w:val="32"/>
          <w:lang w:val="en-US" w:eastAsia="zh-CN"/>
        </w:rPr>
        <w:t>于黑龙江省鸡西市密山市兴凯镇兴凯村，项目占地面积39</w:t>
      </w:r>
      <w:bookmarkStart w:id="0" w:name="_GoBack"/>
      <w:bookmarkEnd w:id="0"/>
      <w:r>
        <w:rPr>
          <w:rFonts w:hint="default" w:ascii="Times New Roman" w:hAnsi="Times New Roman" w:eastAsia="仿宋_GB2312" w:cs="Times New Roman"/>
          <w:color w:val="auto"/>
          <w:sz w:val="32"/>
          <w:szCs w:val="32"/>
          <w:lang w:val="en-US" w:eastAsia="zh-CN"/>
        </w:rPr>
        <w:t>563m</w:t>
      </w:r>
      <w:r>
        <w:rPr>
          <w:rFonts w:hint="default" w:ascii="Times New Roman" w:hAnsi="Times New Roman" w:eastAsia="仿宋_GB2312" w:cs="Times New Roman"/>
          <w:color w:val="auto"/>
          <w:sz w:val="32"/>
          <w:szCs w:val="32"/>
          <w:vertAlign w:val="superscript"/>
          <w:lang w:val="en-US" w:eastAsia="zh-CN"/>
        </w:rPr>
        <w:t>2</w:t>
      </w:r>
      <w:r>
        <w:rPr>
          <w:rFonts w:hint="default" w:ascii="Times New Roman" w:hAnsi="Times New Roman" w:eastAsia="仿宋_GB2312" w:cs="Times New Roman"/>
          <w:color w:val="auto"/>
          <w:sz w:val="32"/>
          <w:szCs w:val="32"/>
          <w:vertAlign w:val="baseline"/>
          <w:lang w:val="en-US" w:eastAsia="zh-CN"/>
        </w:rPr>
        <w:t>。项目</w:t>
      </w:r>
      <w:r>
        <w:rPr>
          <w:rFonts w:hint="default" w:ascii="Times New Roman" w:hAnsi="Times New Roman" w:eastAsia="仿宋_GB2312" w:cs="Times New Roman"/>
          <w:color w:val="auto"/>
          <w:sz w:val="32"/>
          <w:szCs w:val="32"/>
          <w:lang w:val="en-US" w:eastAsia="zh-CN"/>
        </w:rPr>
        <w:t>新建2×200t/d机械炉排炉焚烧线，配套建设2台18.343t/h余热锅炉、1台2MW背压式汽轮机和1台2MW汽轮发电机组及相关配套附属设备设施。项目处理规模为400t/d，其中协同处置餐厨垃圾25t/d（预处理后入炉量5t/d），协同处置生活污水处理厂剩余污泥20t/d（预处理后入炉量11.4t/d）。新建一条污泥干化预处理生产线和一条餐厨垃圾预处理生产线。新建一座渗滤液处理站，设计处理能力150m</w:t>
      </w:r>
      <w:r>
        <w:rPr>
          <w:rFonts w:hint="default" w:ascii="Times New Roman" w:hAnsi="Times New Roman" w:eastAsia="仿宋_GB2312" w:cs="Times New Roman"/>
          <w:color w:val="auto"/>
          <w:sz w:val="32"/>
          <w:szCs w:val="32"/>
          <w:vertAlign w:val="superscript"/>
          <w:lang w:val="en-US" w:eastAsia="zh-CN"/>
        </w:rPr>
        <w:t>3</w:t>
      </w:r>
      <w:r>
        <w:rPr>
          <w:rFonts w:hint="default" w:ascii="Times New Roman" w:hAnsi="Times New Roman" w:eastAsia="仿宋_GB2312" w:cs="Times New Roman"/>
          <w:color w:val="auto"/>
          <w:sz w:val="32"/>
          <w:szCs w:val="32"/>
          <w:lang w:val="en-US" w:eastAsia="zh-CN"/>
        </w:rPr>
        <w:t>/d，采用“预处理+调节池+厌氧反应器+硝化反硝化+外置式MBR+NF+RO反渗透”处理工艺。</w:t>
      </w:r>
      <w:r>
        <w:rPr>
          <w:rFonts w:hint="default" w:ascii="Times New Roman" w:hAnsi="Times New Roman" w:eastAsia="仿宋_GB2312" w:cs="Times New Roman"/>
          <w:color w:val="auto"/>
          <w:sz w:val="32"/>
          <w:szCs w:val="32"/>
          <w:vertAlign w:val="baseline"/>
          <w:lang w:eastAsia="zh-CN"/>
        </w:rPr>
        <w:t>项目总投资</w:t>
      </w:r>
      <w:r>
        <w:rPr>
          <w:rFonts w:hint="default" w:ascii="Times New Roman" w:hAnsi="Times New Roman" w:eastAsia="仿宋_GB2312" w:cs="Times New Roman"/>
          <w:color w:val="auto"/>
          <w:sz w:val="32"/>
          <w:szCs w:val="32"/>
          <w:vertAlign w:val="baseline"/>
          <w:lang w:val="en-US" w:eastAsia="zh-CN"/>
        </w:rPr>
        <w:t>34029.21</w:t>
      </w:r>
      <w:r>
        <w:rPr>
          <w:rFonts w:hint="default" w:ascii="Times New Roman" w:hAnsi="Times New Roman" w:eastAsia="仿宋_GB2312" w:cs="Times New Roman"/>
          <w:color w:val="auto"/>
          <w:sz w:val="32"/>
          <w:szCs w:val="32"/>
          <w:vertAlign w:val="baseline"/>
          <w:lang w:eastAsia="zh-CN"/>
        </w:rPr>
        <w:t>万元，全部用于环保投资。</w:t>
      </w:r>
    </w:p>
    <w:p w14:paraId="78E2D2FF">
      <w:pPr>
        <w:pStyle w:val="13"/>
        <w:keepNext w:val="0"/>
        <w:keepLines w:val="0"/>
        <w:pageBreakBefore w:val="0"/>
        <w:widowControl/>
        <w:kinsoku/>
        <w:wordWrap/>
        <w:overflowPunct/>
        <w:topLinePunct w:val="0"/>
        <w:autoSpaceDE/>
        <w:autoSpaceDN/>
        <w:bidi w:val="0"/>
        <w:adjustRightInd/>
        <w:snapToGrid/>
        <w:spacing w:beforeAutospacing="0" w:after="0" w:afterAutospacing="0" w:line="56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auto"/>
          <w:sz w:val="32"/>
          <w:szCs w:val="32"/>
          <w:lang w:val="en-US" w:eastAsia="zh-CN"/>
        </w:rPr>
        <w:t>该项目</w:t>
      </w:r>
      <w:r>
        <w:rPr>
          <w:rFonts w:hint="default" w:ascii="Times New Roman" w:hAnsi="Times New Roman" w:eastAsia="仿宋_GB2312" w:cs="Times New Roman"/>
          <w:color w:val="auto"/>
          <w:sz w:val="32"/>
          <w:szCs w:val="32"/>
        </w:rPr>
        <w:t>在全面落实</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kern w:val="0"/>
          <w:sz w:val="32"/>
          <w:szCs w:val="32"/>
          <w:lang w:eastAsia="zh-CN"/>
        </w:rPr>
        <w:t>黑龙江省鸡西市密山市生活垃圾焚烧处理项目生态</w:t>
      </w:r>
      <w:r>
        <w:rPr>
          <w:rFonts w:hint="default" w:ascii="Times New Roman" w:hAnsi="Times New Roman" w:eastAsia="仿宋_GB2312" w:cs="Times New Roman"/>
          <w:color w:val="auto"/>
          <w:sz w:val="32"/>
          <w:szCs w:val="32"/>
          <w:lang w:eastAsia="zh-CN"/>
        </w:rPr>
        <w:t>环境影响报告书》</w:t>
      </w:r>
      <w:r>
        <w:rPr>
          <w:rFonts w:hint="default" w:ascii="Times New Roman" w:hAnsi="Times New Roman" w:eastAsia="仿宋_GB2312" w:cs="Times New Roman"/>
          <w:sz w:val="32"/>
          <w:szCs w:val="32"/>
        </w:rPr>
        <w:t>（以下简称《报告</w:t>
      </w:r>
      <w:r>
        <w:rPr>
          <w:rFonts w:hint="default" w:ascii="Times New Roman" w:hAnsi="Times New Roman" w:eastAsia="仿宋_GB2312" w:cs="Times New Roman"/>
          <w:color w:val="auto"/>
          <w:sz w:val="32"/>
          <w:szCs w:val="32"/>
          <w:lang w:eastAsia="zh-CN"/>
        </w:rPr>
        <w:t>书</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和本批复</w:t>
      </w:r>
      <w:r>
        <w:rPr>
          <w:rFonts w:hint="default" w:ascii="Times New Roman" w:hAnsi="Times New Roman" w:eastAsia="仿宋_GB2312" w:cs="Times New Roman"/>
          <w:color w:val="auto"/>
          <w:sz w:val="32"/>
          <w:szCs w:val="32"/>
        </w:rPr>
        <w:t>提出的各项生态环境保护措施</w:t>
      </w:r>
      <w:r>
        <w:rPr>
          <w:rFonts w:hint="default" w:ascii="Times New Roman" w:hAnsi="Times New Roman" w:eastAsia="仿宋_GB2312" w:cs="Times New Roman"/>
          <w:color w:val="auto"/>
          <w:sz w:val="32"/>
          <w:szCs w:val="32"/>
          <w:lang w:val="en-US" w:eastAsia="zh-CN"/>
        </w:rPr>
        <w:t>后</w:t>
      </w:r>
      <w:r>
        <w:rPr>
          <w:rFonts w:hint="default" w:ascii="Times New Roman" w:hAnsi="Times New Roman" w:eastAsia="仿宋_GB2312" w:cs="Times New Roman"/>
          <w:color w:val="auto"/>
          <w:sz w:val="32"/>
          <w:szCs w:val="32"/>
        </w:rPr>
        <w:t>，对环境的不利影响可以得到缓解和控制。我局原则同意</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报告</w:t>
      </w:r>
      <w:r>
        <w:rPr>
          <w:rFonts w:hint="default" w:ascii="Times New Roman" w:hAnsi="Times New Roman" w:eastAsia="仿宋_GB2312" w:cs="Times New Roman"/>
          <w:color w:val="auto"/>
          <w:sz w:val="32"/>
          <w:szCs w:val="32"/>
          <w:lang w:eastAsia="zh-CN"/>
        </w:rPr>
        <w:t>书》</w:t>
      </w:r>
      <w:r>
        <w:rPr>
          <w:rFonts w:hint="default" w:ascii="Times New Roman" w:hAnsi="Times New Roman" w:eastAsia="仿宋_GB2312" w:cs="Times New Roman"/>
          <w:color w:val="auto"/>
          <w:sz w:val="32"/>
          <w:szCs w:val="32"/>
        </w:rPr>
        <w:t>中的环境影响评价总体结论和各项生态环境保护措施。</w:t>
      </w:r>
    </w:p>
    <w:p w14:paraId="252C3F19">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二、项目建设的主要生态环境影响及保护措施</w:t>
      </w:r>
    </w:p>
    <w:p w14:paraId="0AD8147B">
      <w:pPr>
        <w:pStyle w:val="2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color w:val="000000"/>
          <w:sz w:val="32"/>
          <w:szCs w:val="32"/>
        </w:rPr>
        <w:t>（一）施工期环境影响及保护措施。</w:t>
      </w:r>
      <w:r>
        <w:rPr>
          <w:rFonts w:hint="default" w:ascii="Times New Roman" w:hAnsi="Times New Roman" w:eastAsia="仿宋_GB2312" w:cs="Times New Roman"/>
          <w:sz w:val="32"/>
          <w:szCs w:val="32"/>
        </w:rPr>
        <w:t>施工场地设置围挡，</w:t>
      </w:r>
      <w:r>
        <w:rPr>
          <w:rFonts w:hint="default" w:ascii="Times New Roman" w:hAnsi="Times New Roman" w:eastAsia="仿宋_GB2312" w:cs="Times New Roman"/>
          <w:kern w:val="2"/>
          <w:sz w:val="32"/>
          <w:szCs w:val="32"/>
        </w:rPr>
        <w:t>运输车辆</w:t>
      </w:r>
      <w:r>
        <w:rPr>
          <w:rFonts w:hint="default" w:ascii="Times New Roman" w:hAnsi="Times New Roman" w:eastAsia="仿宋_GB2312" w:cs="Times New Roman"/>
          <w:kern w:val="2"/>
          <w:sz w:val="32"/>
          <w:szCs w:val="32"/>
          <w:lang w:eastAsia="zh-CN"/>
        </w:rPr>
        <w:t>、物料堆存</w:t>
      </w:r>
      <w:r>
        <w:rPr>
          <w:rFonts w:hint="default" w:ascii="Times New Roman" w:hAnsi="Times New Roman" w:eastAsia="仿宋_GB2312" w:cs="Times New Roman"/>
          <w:kern w:val="2"/>
          <w:sz w:val="32"/>
          <w:szCs w:val="32"/>
        </w:rPr>
        <w:t>加盖苫布，</w:t>
      </w:r>
      <w:r>
        <w:rPr>
          <w:rFonts w:hint="default" w:ascii="Times New Roman" w:hAnsi="Times New Roman" w:eastAsia="仿宋_GB2312" w:cs="Times New Roman"/>
          <w:kern w:val="2"/>
          <w:sz w:val="32"/>
          <w:szCs w:val="32"/>
          <w:lang w:eastAsia="zh-CN"/>
        </w:rPr>
        <w:t>洒水降尘，颗粒物排放浓度应符合《大气污染综合排放标准》（GB16297-1996）要求。</w:t>
      </w:r>
      <w:r>
        <w:rPr>
          <w:rFonts w:hint="default" w:ascii="Times New Roman" w:hAnsi="Times New Roman" w:eastAsia="仿宋_GB2312" w:cs="Times New Roman"/>
          <w:kern w:val="2"/>
          <w:sz w:val="32"/>
          <w:szCs w:val="32"/>
          <w:lang w:val="en-US" w:eastAsia="zh-CN"/>
        </w:rPr>
        <w:t>施工废水经沉淀后回用于洒水降尘。生活污水依排入防渗旱厕，定期清掏，外运堆肥。选</w:t>
      </w:r>
      <w:r>
        <w:rPr>
          <w:rFonts w:hint="default" w:ascii="Times New Roman" w:hAnsi="Times New Roman" w:eastAsia="仿宋_GB2312" w:cs="Times New Roman"/>
          <w:sz w:val="32"/>
          <w:szCs w:val="32"/>
        </w:rPr>
        <w:t>用低噪声设备</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控制车速，禁止鸣笛</w:t>
      </w:r>
      <w:r>
        <w:rPr>
          <w:rFonts w:hint="default" w:ascii="Times New Roman" w:hAnsi="Times New Roman" w:eastAsia="仿宋_GB2312" w:cs="Times New Roman"/>
          <w:sz w:val="32"/>
          <w:szCs w:val="32"/>
        </w:rPr>
        <w:t>，噪声</w:t>
      </w:r>
      <w:r>
        <w:rPr>
          <w:rFonts w:hint="default" w:ascii="Times New Roman" w:hAnsi="Times New Roman" w:eastAsia="仿宋_GB2312" w:cs="Times New Roman"/>
          <w:sz w:val="32"/>
          <w:szCs w:val="32"/>
          <w:lang w:eastAsia="zh-CN"/>
        </w:rPr>
        <w:t>应符合</w:t>
      </w:r>
      <w:r>
        <w:rPr>
          <w:rFonts w:hint="default" w:ascii="Times New Roman" w:hAnsi="Times New Roman" w:eastAsia="仿宋_GB2312" w:cs="Times New Roman"/>
          <w:kern w:val="2"/>
          <w:sz w:val="32"/>
          <w:szCs w:val="32"/>
        </w:rPr>
        <w:t>《</w:t>
      </w:r>
      <w:r>
        <w:rPr>
          <w:rFonts w:hint="default" w:ascii="Times New Roman" w:hAnsi="Times New Roman" w:eastAsia="仿宋_GB2312" w:cs="Times New Roman"/>
          <w:kern w:val="2"/>
          <w:sz w:val="32"/>
          <w:szCs w:val="32"/>
          <w:lang w:val="en-US" w:eastAsia="zh-CN"/>
        </w:rPr>
        <w:t>建筑施工噪声排放标准</w:t>
      </w:r>
      <w:r>
        <w:rPr>
          <w:rFonts w:hint="default" w:ascii="Times New Roman" w:hAnsi="Times New Roman" w:eastAsia="仿宋_GB2312" w:cs="Times New Roman"/>
          <w:kern w:val="2"/>
          <w:sz w:val="32"/>
          <w:szCs w:val="32"/>
        </w:rPr>
        <w:t>》（GB12523-20</w:t>
      </w:r>
      <w:r>
        <w:rPr>
          <w:rFonts w:hint="default" w:ascii="Times New Roman" w:hAnsi="Times New Roman" w:eastAsia="仿宋_GB2312" w:cs="Times New Roman"/>
          <w:kern w:val="2"/>
          <w:sz w:val="32"/>
          <w:szCs w:val="32"/>
          <w:lang w:val="en-US" w:eastAsia="zh-CN"/>
        </w:rPr>
        <w:t>25</w:t>
      </w:r>
      <w:r>
        <w:rPr>
          <w:rFonts w:hint="default" w:ascii="Times New Roman" w:hAnsi="Times New Roman" w:eastAsia="仿宋_GB2312" w:cs="Times New Roman"/>
          <w:kern w:val="2"/>
          <w:sz w:val="32"/>
          <w:szCs w:val="32"/>
        </w:rPr>
        <w:t>）</w:t>
      </w:r>
      <w:r>
        <w:rPr>
          <w:rFonts w:hint="default" w:ascii="Times New Roman" w:hAnsi="Times New Roman" w:eastAsia="仿宋_GB2312" w:cs="Times New Roman"/>
          <w:sz w:val="32"/>
          <w:szCs w:val="32"/>
        </w:rPr>
        <w:t>要求。</w:t>
      </w:r>
      <w:r>
        <w:rPr>
          <w:rFonts w:hint="default" w:ascii="Times New Roman" w:hAnsi="Times New Roman" w:eastAsia="仿宋_GB2312" w:cs="Times New Roman"/>
          <w:sz w:val="32"/>
          <w:szCs w:val="32"/>
          <w:lang w:eastAsia="zh-CN"/>
        </w:rPr>
        <w:t>设备安装</w:t>
      </w:r>
      <w:r>
        <w:rPr>
          <w:rFonts w:hint="default" w:ascii="Times New Roman" w:hAnsi="Times New Roman" w:eastAsia="仿宋_GB2312" w:cs="Times New Roman"/>
          <w:sz w:val="32"/>
          <w:szCs w:val="32"/>
        </w:rPr>
        <w:t>产生的</w:t>
      </w:r>
      <w:r>
        <w:rPr>
          <w:rFonts w:hint="default" w:ascii="Times New Roman" w:hAnsi="Times New Roman" w:eastAsia="仿宋_GB2312" w:cs="Times New Roman"/>
          <w:sz w:val="32"/>
          <w:szCs w:val="32"/>
          <w:lang w:eastAsia="zh-CN"/>
        </w:rPr>
        <w:t>废金属料由安装厂家回收</w:t>
      </w:r>
      <w:r>
        <w:rPr>
          <w:rFonts w:hint="default" w:ascii="Times New Roman" w:hAnsi="Times New Roman" w:eastAsia="仿宋_GB2312" w:cs="Times New Roman"/>
          <w:sz w:val="32"/>
          <w:szCs w:val="32"/>
        </w:rPr>
        <w:t>，建筑垃圾送</w:t>
      </w:r>
      <w:r>
        <w:rPr>
          <w:rFonts w:hint="default" w:ascii="Times New Roman" w:hAnsi="Times New Roman" w:eastAsia="仿宋_GB2312" w:cs="Times New Roman"/>
          <w:sz w:val="32"/>
          <w:szCs w:val="32"/>
          <w:lang w:eastAsia="zh-CN"/>
        </w:rPr>
        <w:t>至市政府</w:t>
      </w:r>
      <w:r>
        <w:rPr>
          <w:rFonts w:hint="default" w:ascii="Times New Roman" w:hAnsi="Times New Roman" w:eastAsia="仿宋_GB2312" w:cs="Times New Roman"/>
          <w:sz w:val="32"/>
          <w:szCs w:val="32"/>
        </w:rPr>
        <w:t>指定地点</w:t>
      </w:r>
      <w:r>
        <w:rPr>
          <w:rFonts w:hint="default" w:ascii="Times New Roman" w:hAnsi="Times New Roman" w:eastAsia="仿宋_GB2312" w:cs="Times New Roman"/>
          <w:sz w:val="32"/>
          <w:szCs w:val="32"/>
          <w:lang w:eastAsia="zh-CN"/>
        </w:rPr>
        <w:t>处置。</w:t>
      </w:r>
      <w:r>
        <w:rPr>
          <w:rFonts w:hint="default" w:ascii="Times New Roman" w:hAnsi="Times New Roman" w:eastAsia="仿宋_GB2312" w:cs="Times New Roman"/>
          <w:sz w:val="32"/>
          <w:szCs w:val="32"/>
        </w:rPr>
        <w:t>生活垃圾</w:t>
      </w:r>
      <w:r>
        <w:rPr>
          <w:rFonts w:hint="default" w:ascii="Times New Roman" w:hAnsi="Times New Roman" w:eastAsia="仿宋_GB2312" w:cs="Times New Roman"/>
          <w:sz w:val="32"/>
          <w:szCs w:val="32"/>
          <w:lang w:eastAsia="zh-CN"/>
        </w:rPr>
        <w:t>集中收集，交由市政环卫部门统一处置</w:t>
      </w:r>
      <w:r>
        <w:rPr>
          <w:rFonts w:hint="default" w:ascii="Times New Roman" w:hAnsi="Times New Roman" w:eastAsia="仿宋_GB2312" w:cs="Times New Roman"/>
          <w:kern w:val="2"/>
          <w:sz w:val="32"/>
          <w:szCs w:val="32"/>
        </w:rPr>
        <w:t>。</w:t>
      </w:r>
    </w:p>
    <w:p w14:paraId="0101FA17">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default" w:ascii="Times New Roman" w:hAnsi="Times New Roman" w:eastAsia="仿宋_GB2312" w:cs="Times New Roman"/>
          <w:color w:val="FF0000"/>
          <w:sz w:val="32"/>
          <w:szCs w:val="32"/>
          <w:lang w:val="en-US" w:eastAsia="zh-CN"/>
        </w:rPr>
      </w:pPr>
      <w:r>
        <w:rPr>
          <w:rFonts w:hint="default" w:ascii="Times New Roman" w:hAnsi="Times New Roman" w:eastAsia="楷体_GB2312" w:cs="Times New Roman"/>
          <w:color w:val="000000"/>
          <w:sz w:val="32"/>
          <w:szCs w:val="32"/>
        </w:rPr>
        <w:t>（二）</w:t>
      </w:r>
      <w:r>
        <w:rPr>
          <w:rFonts w:hint="default" w:ascii="Times New Roman" w:hAnsi="Times New Roman" w:eastAsia="楷体_GB2312" w:cs="Times New Roman"/>
          <w:color w:val="000000"/>
          <w:sz w:val="32"/>
          <w:szCs w:val="32"/>
          <w:lang w:eastAsia="zh-CN"/>
        </w:rPr>
        <w:t>大气</w:t>
      </w:r>
      <w:r>
        <w:rPr>
          <w:rFonts w:hint="default" w:ascii="Times New Roman" w:hAnsi="Times New Roman" w:eastAsia="楷体_GB2312" w:cs="Times New Roman"/>
          <w:color w:val="000000"/>
          <w:sz w:val="32"/>
          <w:szCs w:val="32"/>
        </w:rPr>
        <w:t>环境影响及保护措施。</w:t>
      </w:r>
      <w:r>
        <w:rPr>
          <w:rFonts w:hint="default" w:ascii="Times New Roman" w:hAnsi="Times New Roman" w:eastAsia="仿宋_GB2312" w:cs="Times New Roman"/>
          <w:sz w:val="32"/>
          <w:szCs w:val="32"/>
          <w:lang w:eastAsia="zh-CN"/>
        </w:rPr>
        <w:t>焚烧废气经“SNCR脱硝+半干法（石灰浆液）脱酸+干法（消石灰）脱酸+活性炭吸附+布袋除尘器”处理后，通过</w:t>
      </w:r>
      <w:r>
        <w:rPr>
          <w:rFonts w:hint="default" w:ascii="Times New Roman" w:hAnsi="Times New Roman" w:eastAsia="仿宋_GB2312" w:cs="Times New Roman"/>
          <w:sz w:val="32"/>
          <w:szCs w:val="32"/>
          <w:lang w:val="en-US" w:eastAsia="zh-CN"/>
        </w:rPr>
        <w:t>80m高双筒集束式烟囱排放，酸性废气（SO</w:t>
      </w:r>
      <w:r>
        <w:rPr>
          <w:rFonts w:hint="default" w:ascii="Times New Roman" w:hAnsi="Times New Roman" w:eastAsia="仿宋_GB2312" w:cs="Times New Roman"/>
          <w:sz w:val="32"/>
          <w:szCs w:val="32"/>
          <w:vertAlign w:val="subscript"/>
          <w:lang w:val="en-US" w:eastAsia="zh-CN"/>
        </w:rPr>
        <w:t>2</w:t>
      </w:r>
      <w:r>
        <w:rPr>
          <w:rFonts w:hint="default" w:ascii="Times New Roman" w:hAnsi="Times New Roman" w:eastAsia="仿宋_GB2312" w:cs="Times New Roman"/>
          <w:sz w:val="32"/>
          <w:szCs w:val="32"/>
          <w:lang w:val="en-US" w:eastAsia="zh-CN"/>
        </w:rPr>
        <w:t>、HCl、HF）、烟尘、NOx、CO、重金属（Hg、Cd、Pb）以及二噁英等排放浓度应符合《生活垃圾焚烧污染控制标准》（GB18485-2014）及修改单要求。食堂油烟经油烟净化装置处理后，通过建筑物顶端独立烟道排放，油烟排放应符合《饮食业油烟排放标准》（GB18483-2001）要求。垃圾池、渗滤液处理站厌氧系统、污泥间为封闭式，经机械送排风系统、负压收集后送至焚烧炉处理用作助燃气。停炉检修时渗滤液处理站、餐厨污泥预处理车间、垃圾池废气经活性炭处理后，通过25m高排气筒排放，臭气排放浓度应符合《恶臭污染物排放标准》（GB14554-93）要求，非甲烷总烃排放浓度应符合大气污染物综合排放标准》（GB16297-1996）要求，并速率严格50%执行。厌氧反应器产生的沼气经火炬高空燃烧排放。厂区内非甲烷总烃排放浓度应符合《挥发性有机物无组织排放控制标准》（GB 37822-2019）要求。厂界无组织颗粒物及非甲烷总烃排放浓度应符合《大气污染物综合排放标准》（GB16297-1996）表2要求。厂界无组织臭气污染物排放浓度应符合《恶臭污染物排放标准》（GB14554-93）要求。</w:t>
      </w:r>
    </w:p>
    <w:p w14:paraId="0CFAE24D">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楷体_GB2312" w:cs="Times New Roman"/>
          <w:color w:val="000000"/>
          <w:kern w:val="2"/>
          <w:sz w:val="32"/>
          <w:szCs w:val="32"/>
          <w:lang w:val="en-US" w:eastAsia="zh-CN" w:bidi="ar-SA"/>
        </w:rPr>
        <w:t>（三）水环境影响及保护措施。</w:t>
      </w:r>
      <w:r>
        <w:rPr>
          <w:rFonts w:hint="default" w:ascii="Times New Roman" w:hAnsi="Times New Roman" w:eastAsia="仿宋_GB2312" w:cs="Times New Roman"/>
          <w:kern w:val="2"/>
          <w:sz w:val="32"/>
          <w:szCs w:val="32"/>
          <w:lang w:val="en-US" w:eastAsia="zh-CN" w:bidi="ar-SA"/>
        </w:rPr>
        <w:t>生活污水经化粪池处理后与化验废水、化学水制备废水以及部分化学水制备浓水一同排入兴凯镇污水处理厂处理，废水排放浓度应符合《污水综合排放标准》（GB8978-1996）及兴凯镇污水处理厂进水指标。锅炉排污水与部分化学水制备浓水回用于冷却塔冷却；循环水池排污水回用于炉排漏渣输送机、出渣机冷渣。垃圾渗滤液、餐厨垃圾污泥渗滤液及预处理尾气冷凝水、垃圾卸料大厅冲洗废水、地磅及车辆冲洗废水、坡道冲洗废水、渗滤液站冲洗废水、餐厨污泥预处理设备冲洗废水、初期雨水排入厂区渗滤液处理站，处理达标后回用至厂区冷却塔补水。渗滤液浓液用于石灰浆制备。</w:t>
      </w:r>
    </w:p>
    <w:p w14:paraId="614E2B45">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仿宋_GB2312" w:hAnsi="仿宋_GB2312" w:eastAsia="仿宋_GB2312" w:cs="仿宋_GB2312"/>
          <w:color w:val="auto"/>
          <w:kern w:val="0"/>
          <w:sz w:val="32"/>
          <w:szCs w:val="32"/>
          <w:lang w:val="en-US" w:eastAsia="zh-CN" w:bidi="ar-SA"/>
        </w:rPr>
      </w:pPr>
      <w:r>
        <w:rPr>
          <w:rFonts w:hint="eastAsia" w:ascii="Times New Roman" w:hAnsi="Times New Roman" w:eastAsia="仿宋_GB2312" w:cs="Times New Roman"/>
          <w:kern w:val="2"/>
          <w:sz w:val="32"/>
          <w:szCs w:val="32"/>
          <w:lang w:val="en-US" w:eastAsia="zh-CN" w:bidi="ar-SA"/>
        </w:rPr>
        <w:t>严格落实地下水分区防渗措施。垃圾池、卸料大厅、渗滤液收集池、渗滤液处理站内各处理池（含调节池）、事故池、柴油罐区、初期雨水收集池采取</w:t>
      </w:r>
      <w:r>
        <w:rPr>
          <w:rFonts w:hint="eastAsia" w:eastAsia="仿宋_GB2312" w:cs="Times New Roman"/>
          <w:kern w:val="2"/>
          <w:sz w:val="32"/>
          <w:szCs w:val="32"/>
          <w:lang w:val="en-US" w:eastAsia="zh-CN" w:bidi="ar-SA"/>
        </w:rPr>
        <w:t>等采取</w:t>
      </w:r>
      <w:r>
        <w:rPr>
          <w:rFonts w:hint="eastAsia" w:ascii="Times New Roman" w:hAnsi="Times New Roman" w:eastAsia="仿宋_GB2312" w:cs="Times New Roman"/>
          <w:kern w:val="2"/>
          <w:sz w:val="32"/>
          <w:szCs w:val="32"/>
          <w:lang w:val="en-US" w:eastAsia="zh-CN" w:bidi="ar-SA"/>
        </w:rPr>
        <w:t>重点防渗</w:t>
      </w:r>
      <w:r>
        <w:rPr>
          <w:rFonts w:hint="eastAsia" w:eastAsia="仿宋_GB2312" w:cs="Times New Roman"/>
          <w:kern w:val="2"/>
          <w:sz w:val="32"/>
          <w:szCs w:val="32"/>
          <w:lang w:val="en-US" w:eastAsia="zh-CN" w:bidi="ar-SA"/>
        </w:rPr>
        <w:t>，</w:t>
      </w:r>
      <w:r>
        <w:rPr>
          <w:rFonts w:hint="eastAsia" w:ascii="仿宋_GB2312" w:hAnsi="仿宋_GB2312" w:eastAsia="仿宋_GB2312" w:cs="仿宋_GB2312"/>
          <w:color w:val="auto"/>
          <w:kern w:val="0"/>
          <w:sz w:val="32"/>
          <w:szCs w:val="32"/>
          <w:lang w:val="en-US" w:eastAsia="zh-CN" w:bidi="ar-SA"/>
        </w:rPr>
        <w:t>防渗技术要求达到等效黏土防渗层Mb≥6m，K≤10</w:t>
      </w:r>
      <w:r>
        <w:rPr>
          <w:rFonts w:hint="eastAsia" w:ascii="仿宋_GB2312" w:hAnsi="仿宋_GB2312" w:eastAsia="仿宋_GB2312" w:cs="仿宋_GB2312"/>
          <w:color w:val="auto"/>
          <w:kern w:val="0"/>
          <w:sz w:val="32"/>
          <w:szCs w:val="32"/>
          <w:vertAlign w:val="superscript"/>
          <w:lang w:val="en-US" w:eastAsia="zh-CN" w:bidi="ar-SA"/>
        </w:rPr>
        <w:t>-7</w:t>
      </w:r>
      <w:r>
        <w:rPr>
          <w:rFonts w:hint="eastAsia" w:ascii="仿宋_GB2312" w:hAnsi="仿宋_GB2312" w:eastAsia="仿宋_GB2312" w:cs="仿宋_GB2312"/>
          <w:color w:val="auto"/>
          <w:kern w:val="0"/>
          <w:sz w:val="32"/>
          <w:szCs w:val="32"/>
          <w:lang w:val="en-US" w:eastAsia="zh-CN" w:bidi="ar-SA"/>
        </w:rPr>
        <w:t>cm/s；飞灰暂存间、危险废物贮存库采取重点防渗，</w:t>
      </w:r>
      <w:r>
        <w:rPr>
          <w:rFonts w:hint="eastAsia" w:ascii="仿宋_GB2312" w:hAnsi="仿宋_GB2312" w:eastAsia="仿宋_GB2312" w:cs="仿宋_GB2312"/>
          <w:sz w:val="32"/>
          <w:szCs w:val="32"/>
          <w:lang w:val="en-US" w:eastAsia="zh-CN"/>
        </w:rPr>
        <w:t>2mm厚高密度聚乙烯膜等人工防渗材料，K</w:t>
      </w:r>
      <w:r>
        <w:rPr>
          <w:rFonts w:hint="eastAsia" w:ascii="仿宋_GB2312" w:hAnsi="仿宋_GB2312" w:eastAsia="仿宋_GB2312" w:cs="仿宋_GB2312"/>
          <w:color w:val="auto"/>
          <w:kern w:val="0"/>
          <w:sz w:val="32"/>
          <w:szCs w:val="32"/>
          <w:lang w:val="en-US" w:eastAsia="zh-CN" w:bidi="ar-SA"/>
        </w:rPr>
        <w:t>≤</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vertAlign w:val="superscript"/>
          <w:lang w:val="en-US" w:eastAsia="zh-CN"/>
        </w:rPr>
        <w:t>-10</w:t>
      </w:r>
      <w:r>
        <w:rPr>
          <w:rFonts w:hint="eastAsia" w:ascii="仿宋_GB2312" w:hAnsi="仿宋_GB2312" w:eastAsia="仿宋_GB2312" w:cs="仿宋_GB2312"/>
          <w:sz w:val="32"/>
          <w:szCs w:val="32"/>
          <w:lang w:val="en-US" w:eastAsia="zh-CN"/>
        </w:rPr>
        <w:t>cm/s。</w:t>
      </w:r>
      <w:r>
        <w:rPr>
          <w:rFonts w:hint="default" w:ascii="仿宋_GB2312" w:hAnsi="仿宋_GB2312" w:eastAsia="仿宋_GB2312" w:cs="仿宋_GB2312"/>
          <w:color w:val="auto"/>
          <w:kern w:val="0"/>
          <w:sz w:val="32"/>
          <w:szCs w:val="32"/>
          <w:lang w:val="en-US" w:eastAsia="zh-CN" w:bidi="ar-SA"/>
        </w:rPr>
        <w:t>地磅间和水泵房及冷却塔、消防水池、渗滤液处理站综合设备间</w:t>
      </w:r>
      <w:r>
        <w:rPr>
          <w:rFonts w:hint="eastAsia" w:ascii="仿宋_GB2312" w:hAnsi="仿宋_GB2312" w:eastAsia="仿宋_GB2312" w:cs="仿宋_GB2312"/>
          <w:color w:val="auto"/>
          <w:kern w:val="0"/>
          <w:sz w:val="32"/>
          <w:szCs w:val="32"/>
          <w:lang w:val="en-US" w:eastAsia="zh-CN" w:bidi="ar-SA"/>
        </w:rPr>
        <w:t>采取一般防渗</w:t>
      </w:r>
      <w:r>
        <w:rPr>
          <w:rFonts w:hint="default" w:ascii="仿宋_GB2312" w:hAnsi="仿宋_GB2312" w:eastAsia="仿宋_GB2312" w:cs="仿宋_GB2312"/>
          <w:color w:val="auto"/>
          <w:kern w:val="0"/>
          <w:sz w:val="32"/>
          <w:szCs w:val="32"/>
          <w:lang w:val="en-US" w:eastAsia="zh-CN" w:bidi="ar-SA"/>
        </w:rPr>
        <w:t>，</w:t>
      </w:r>
      <w:r>
        <w:rPr>
          <w:rFonts w:hint="eastAsia" w:ascii="仿宋_GB2312" w:hAnsi="仿宋_GB2312" w:eastAsia="仿宋_GB2312" w:cs="仿宋_GB2312"/>
          <w:color w:val="auto"/>
          <w:kern w:val="0"/>
          <w:sz w:val="32"/>
          <w:szCs w:val="32"/>
          <w:lang w:val="en-US" w:eastAsia="zh-CN" w:bidi="ar-SA"/>
        </w:rPr>
        <w:t>防渗技术要求达到等效黏土防渗层Mb≥1.5m，K≤10</w:t>
      </w:r>
      <w:r>
        <w:rPr>
          <w:rFonts w:hint="eastAsia" w:ascii="仿宋_GB2312" w:hAnsi="仿宋_GB2312" w:eastAsia="仿宋_GB2312" w:cs="仿宋_GB2312"/>
          <w:color w:val="auto"/>
          <w:kern w:val="0"/>
          <w:sz w:val="32"/>
          <w:szCs w:val="32"/>
          <w:vertAlign w:val="superscript"/>
          <w:lang w:val="en-US" w:eastAsia="zh-CN" w:bidi="ar-SA"/>
        </w:rPr>
        <w:t>-7</w:t>
      </w:r>
      <w:r>
        <w:rPr>
          <w:rFonts w:hint="eastAsia" w:ascii="仿宋_GB2312" w:hAnsi="仿宋_GB2312" w:eastAsia="仿宋_GB2312" w:cs="仿宋_GB2312"/>
          <w:color w:val="auto"/>
          <w:kern w:val="0"/>
          <w:sz w:val="32"/>
          <w:szCs w:val="32"/>
          <w:lang w:val="en-US" w:eastAsia="zh-CN" w:bidi="ar-SA"/>
        </w:rPr>
        <w:t>cm/s。厂区道路、办公区电力系统、自动控制系统等采取简单防渗，进行地表硬化处理。</w:t>
      </w:r>
    </w:p>
    <w:p w14:paraId="3CE0D9E8">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color w:val="000000"/>
          <w:kern w:val="2"/>
          <w:sz w:val="32"/>
          <w:szCs w:val="32"/>
          <w:lang w:val="en-US" w:eastAsia="zh-CN" w:bidi="ar-SA"/>
        </w:rPr>
        <w:t>（四）声环境影响及保护措施。</w:t>
      </w:r>
      <w:r>
        <w:rPr>
          <w:rFonts w:hint="default" w:ascii="Times New Roman" w:hAnsi="Times New Roman" w:eastAsia="仿宋_GB2312" w:cs="Times New Roman"/>
          <w:sz w:val="32"/>
          <w:szCs w:val="32"/>
          <w:lang w:val="en-US" w:eastAsia="zh-CN"/>
        </w:rPr>
        <w:t>选用低噪声设备，采取减振、消声等措施</w:t>
      </w:r>
      <w:r>
        <w:rPr>
          <w:rFonts w:hint="default" w:ascii="Times New Roman" w:hAnsi="Times New Roman" w:eastAsia="仿宋_GB2312" w:cs="Times New Roman"/>
          <w:sz w:val="32"/>
          <w:szCs w:val="32"/>
          <w:lang w:eastAsia="zh-CN"/>
        </w:rPr>
        <w:t>，加强厂区绿化，厂界噪声应符合《工业企业厂界环境噪声排放标准》（GB12348-2008）中</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lang w:eastAsia="zh-CN"/>
        </w:rPr>
        <w:t>类标准要求</w:t>
      </w:r>
      <w:r>
        <w:rPr>
          <w:rFonts w:hint="default" w:ascii="Times New Roman" w:hAnsi="Times New Roman" w:eastAsia="仿宋_GB2312" w:cs="Times New Roman"/>
          <w:sz w:val="32"/>
          <w:szCs w:val="32"/>
        </w:rPr>
        <w:t>。</w:t>
      </w:r>
    </w:p>
    <w:p w14:paraId="23F9AB4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楷体_GB2312" w:cs="Times New Roman"/>
          <w:color w:val="000000"/>
          <w:kern w:val="2"/>
          <w:sz w:val="32"/>
          <w:szCs w:val="32"/>
          <w:lang w:val="en-US" w:eastAsia="zh-CN" w:bidi="ar-SA"/>
        </w:rPr>
        <w:t>（五）固体废物环境影响及保护措施。</w:t>
      </w:r>
      <w:r>
        <w:rPr>
          <w:rFonts w:hint="default" w:ascii="Times New Roman" w:hAnsi="Times New Roman" w:eastAsia="仿宋_GB2312" w:cs="Times New Roman"/>
          <w:sz w:val="32"/>
          <w:szCs w:val="32"/>
          <w:lang w:val="en-US" w:eastAsia="zh-CN"/>
        </w:rPr>
        <w:t>项目飞灰暂存于飞灰暂存间，定期送至黑龙江红森林环保科技有限责任公司处置。废机油、废变压器油、废活性炭、废布袋、实验室废液、化学水处理系统废膜、渗滤液处理站废过滤膜分类收集，暂存危险废物贮存库，委托有资质单位处置。炉渣暂存于渣坑，外售进行综合利用。生活垃圾、渗滤液处理站污泥以及餐厨垃圾进入本项目垃圾焚烧炉焚烧处理。</w:t>
      </w:r>
    </w:p>
    <w:p w14:paraId="08BDB52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六</w:t>
      </w:r>
      <w:r>
        <w:rPr>
          <w:rFonts w:hint="default" w:ascii="Times New Roman" w:hAnsi="Times New Roman" w:eastAsia="仿宋_GB2312" w:cs="Times New Roman"/>
          <w:sz w:val="32"/>
          <w:szCs w:val="32"/>
        </w:rPr>
        <w:t>）环境风险及保护措施。</w:t>
      </w:r>
      <w:r>
        <w:rPr>
          <w:rFonts w:hint="default" w:ascii="Times New Roman" w:hAnsi="Times New Roman" w:eastAsia="仿宋_GB2312" w:cs="Times New Roman"/>
          <w:color w:val="auto"/>
          <w:kern w:val="0"/>
          <w:sz w:val="32"/>
          <w:szCs w:val="32"/>
          <w:lang w:val="en-US" w:eastAsia="zh-CN" w:bidi="ar-SA"/>
        </w:rPr>
        <w:t>项目应严格落实《报告</w:t>
      </w:r>
      <w:r>
        <w:rPr>
          <w:rFonts w:hint="default" w:ascii="Times New Roman" w:hAnsi="Times New Roman" w:eastAsia="仿宋_GB2312" w:cs="Times New Roman"/>
          <w:color w:val="auto"/>
          <w:sz w:val="32"/>
          <w:szCs w:val="32"/>
          <w:lang w:eastAsia="zh-CN"/>
        </w:rPr>
        <w:t>书</w:t>
      </w:r>
      <w:r>
        <w:rPr>
          <w:rFonts w:hint="default" w:ascii="Times New Roman" w:hAnsi="Times New Roman" w:eastAsia="仿宋_GB2312" w:cs="Times New Roman"/>
          <w:color w:val="auto"/>
          <w:kern w:val="0"/>
          <w:sz w:val="32"/>
          <w:szCs w:val="32"/>
          <w:lang w:val="en-US" w:eastAsia="zh-CN" w:bidi="ar-SA"/>
        </w:rPr>
        <w:t>》中提出的风险防范措施，编制环境风险应急预案，加强风险点位预警、预防，防止风险事故发生。</w:t>
      </w:r>
    </w:p>
    <w:p w14:paraId="36BBBAEE">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三、你单位应建立企业内部生态环境管理机构和制度，明确人员和职责，加强生态环境管理。项目实施必须严格执行环境保护设施与主体工程同时设计、同时施工、同时投产使用的环境保护“三同时”制度。在启动生产设施或者在实际排污之前，建设单位应依法履行排污许可手续。项目建成后，应按规定程序实施竣工环境保护验收</w:t>
      </w:r>
      <w:r>
        <w:rPr>
          <w:rFonts w:hint="default" w:ascii="Times New Roman" w:hAnsi="Times New Roman" w:eastAsia="仿宋_GB2312" w:cs="Times New Roman"/>
          <w:color w:val="auto"/>
          <w:sz w:val="32"/>
          <w:szCs w:val="32"/>
          <w:lang w:eastAsia="zh-CN"/>
        </w:rPr>
        <w:t>。</w:t>
      </w:r>
    </w:p>
    <w:p w14:paraId="1259E5FF">
      <w:pPr>
        <w:keepNext w:val="0"/>
        <w:keepLines w:val="0"/>
        <w:pageBreakBefore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kern w:val="0"/>
          <w:sz w:val="32"/>
          <w:szCs w:val="32"/>
        </w:rPr>
        <w:t>四</w:t>
      </w:r>
      <w:r>
        <w:rPr>
          <w:rFonts w:hint="default" w:ascii="Times New Roman" w:hAnsi="Times New Roman" w:eastAsia="仿宋_GB2312" w:cs="Times New Roman"/>
          <w:kern w:val="0"/>
          <w:sz w:val="32"/>
          <w:szCs w:val="32"/>
          <w:lang w:eastAsia="zh-CN"/>
        </w:rPr>
        <w:t>、《</w:t>
      </w:r>
      <w:r>
        <w:rPr>
          <w:rFonts w:hint="default" w:ascii="Times New Roman" w:hAnsi="Times New Roman" w:eastAsia="仿宋_GB2312" w:cs="Times New Roman"/>
          <w:sz w:val="32"/>
          <w:szCs w:val="32"/>
        </w:rPr>
        <w:t>报告</w:t>
      </w:r>
      <w:r>
        <w:rPr>
          <w:rFonts w:hint="default" w:ascii="Times New Roman" w:hAnsi="Times New Roman" w:eastAsia="仿宋_GB2312" w:cs="Times New Roman"/>
          <w:color w:val="auto"/>
          <w:sz w:val="32"/>
          <w:szCs w:val="32"/>
          <w:lang w:eastAsia="zh-CN"/>
        </w:rPr>
        <w:t>书</w:t>
      </w:r>
      <w:r>
        <w:rPr>
          <w:rFonts w:hint="default" w:ascii="Times New Roman" w:hAnsi="Times New Roman" w:eastAsia="仿宋_GB2312" w:cs="Times New Roman"/>
          <w:sz w:val="32"/>
          <w:szCs w:val="32"/>
        </w:rPr>
        <w:t>》经批准后，项目的性质、规模、地点或者污染</w:t>
      </w:r>
      <w:r>
        <w:rPr>
          <w:rFonts w:hint="default" w:ascii="Times New Roman" w:hAnsi="Times New Roman" w:eastAsia="仿宋_GB2312" w:cs="Times New Roman"/>
          <w:sz w:val="32"/>
          <w:szCs w:val="32"/>
          <w:lang w:eastAsia="zh-CN"/>
        </w:rPr>
        <w:t>防治</w:t>
      </w:r>
      <w:r>
        <w:rPr>
          <w:rFonts w:hint="default" w:ascii="Times New Roman" w:hAnsi="Times New Roman" w:eastAsia="仿宋_GB2312" w:cs="Times New Roman"/>
          <w:sz w:val="32"/>
          <w:szCs w:val="32"/>
        </w:rPr>
        <w:t>措施发生重大变动的，应当重新报批该项目的《报告</w:t>
      </w:r>
      <w:r>
        <w:rPr>
          <w:rFonts w:hint="default" w:ascii="Times New Roman" w:hAnsi="Times New Roman" w:eastAsia="仿宋_GB2312" w:cs="Times New Roman"/>
          <w:color w:val="auto"/>
          <w:sz w:val="32"/>
          <w:szCs w:val="32"/>
          <w:lang w:eastAsia="zh-CN"/>
        </w:rPr>
        <w:t>书</w:t>
      </w:r>
      <w:r>
        <w:rPr>
          <w:rFonts w:hint="default" w:ascii="Times New Roman" w:hAnsi="Times New Roman" w:eastAsia="仿宋_GB2312" w:cs="Times New Roman"/>
          <w:sz w:val="32"/>
          <w:szCs w:val="32"/>
        </w:rPr>
        <w:t>》。自《报告</w:t>
      </w:r>
      <w:r>
        <w:rPr>
          <w:rFonts w:hint="default" w:ascii="Times New Roman" w:hAnsi="Times New Roman" w:eastAsia="仿宋_GB2312" w:cs="Times New Roman"/>
          <w:color w:val="auto"/>
          <w:sz w:val="32"/>
          <w:szCs w:val="32"/>
          <w:lang w:eastAsia="zh-CN"/>
        </w:rPr>
        <w:t>书</w:t>
      </w:r>
      <w:r>
        <w:rPr>
          <w:rFonts w:hint="default" w:ascii="Times New Roman" w:hAnsi="Times New Roman" w:eastAsia="仿宋_GB2312" w:cs="Times New Roman"/>
          <w:sz w:val="32"/>
          <w:szCs w:val="32"/>
        </w:rPr>
        <w:t>》批复文件批准之日起，如超过5年方决定开工建设的，《报告</w:t>
      </w:r>
      <w:r>
        <w:rPr>
          <w:rFonts w:hint="default" w:ascii="Times New Roman" w:hAnsi="Times New Roman" w:eastAsia="仿宋_GB2312" w:cs="Times New Roman"/>
          <w:color w:val="auto"/>
          <w:sz w:val="32"/>
          <w:szCs w:val="32"/>
          <w:lang w:eastAsia="zh-CN"/>
        </w:rPr>
        <w:t>书</w:t>
      </w:r>
      <w:r>
        <w:rPr>
          <w:rFonts w:hint="default" w:ascii="Times New Roman" w:hAnsi="Times New Roman" w:eastAsia="仿宋_GB2312" w:cs="Times New Roman"/>
          <w:sz w:val="32"/>
          <w:szCs w:val="32"/>
        </w:rPr>
        <w:t>》应当重新审核。</w:t>
      </w:r>
    </w:p>
    <w:p w14:paraId="033CD337">
      <w:pPr>
        <w:keepNext w:val="0"/>
        <w:keepLines w:val="0"/>
        <w:pageBreakBefore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auto"/>
          <w:sz w:val="32"/>
          <w:szCs w:val="32"/>
          <w:lang w:val="en-US" w:eastAsia="zh-CN"/>
        </w:rPr>
        <w:t>五</w:t>
      </w:r>
      <w:r>
        <w:rPr>
          <w:rFonts w:hint="default" w:ascii="Times New Roman" w:hAnsi="Times New Roman" w:eastAsia="仿宋_GB2312" w:cs="Times New Roman"/>
          <w:color w:val="auto"/>
          <w:sz w:val="32"/>
          <w:szCs w:val="32"/>
          <w:lang w:eastAsia="zh-CN"/>
        </w:rPr>
        <w:t>、鸡西市密山生态环境局组织开展该项目环境保护事中事后监管工作。你单位应在收到本批复后10日内，将批准后的《</w:t>
      </w:r>
      <w:r>
        <w:rPr>
          <w:rFonts w:hint="default" w:ascii="Times New Roman" w:hAnsi="Times New Roman" w:eastAsia="仿宋_GB2312" w:cs="Times New Roman"/>
          <w:color w:val="auto"/>
          <w:sz w:val="32"/>
          <w:szCs w:val="32"/>
          <w:lang w:val="en-US" w:eastAsia="zh-CN"/>
        </w:rPr>
        <w:t>报告</w:t>
      </w:r>
      <w:r>
        <w:rPr>
          <w:rFonts w:hint="default" w:ascii="Times New Roman" w:hAnsi="Times New Roman" w:eastAsia="仿宋_GB2312" w:cs="Times New Roman"/>
          <w:color w:val="auto"/>
          <w:sz w:val="32"/>
          <w:szCs w:val="32"/>
          <w:lang w:eastAsia="zh-CN"/>
        </w:rPr>
        <w:t>书》和批复文件送至鸡西市</w:t>
      </w:r>
      <w:r>
        <w:rPr>
          <w:rFonts w:hint="default" w:ascii="Times New Roman" w:hAnsi="Times New Roman" w:eastAsia="仿宋_GB2312" w:cs="Times New Roman"/>
          <w:color w:val="auto"/>
          <w:sz w:val="32"/>
          <w:szCs w:val="32"/>
          <w:lang w:val="en-US" w:eastAsia="zh-CN"/>
        </w:rPr>
        <w:t>密山</w:t>
      </w:r>
      <w:r>
        <w:rPr>
          <w:rFonts w:hint="default" w:ascii="Times New Roman" w:hAnsi="Times New Roman" w:eastAsia="仿宋_GB2312" w:cs="Times New Roman"/>
          <w:color w:val="auto"/>
          <w:sz w:val="32"/>
          <w:szCs w:val="32"/>
          <w:lang w:eastAsia="zh-CN"/>
        </w:rPr>
        <w:t>生态环境局，并按规定接受各级生态环境主管部门的日常监督检查。</w:t>
      </w:r>
      <w:r>
        <w:rPr>
          <w:rFonts w:hint="default" w:ascii="Times New Roman" w:hAnsi="Times New Roman" w:eastAsia="仿宋_GB2312" w:cs="Times New Roman"/>
          <w:color w:val="2F5597"/>
          <w:sz w:val="32"/>
          <w:szCs w:val="32"/>
        </w:rPr>
        <w:t xml:space="preserve">                    </w:t>
      </w:r>
      <w:r>
        <w:rPr>
          <w:rFonts w:hint="default" w:ascii="Times New Roman" w:hAnsi="Times New Roman" w:eastAsia="仿宋_GB2312" w:cs="Times New Roman"/>
          <w:sz w:val="32"/>
          <w:szCs w:val="32"/>
        </w:rPr>
        <w:t xml:space="preserve">          </w:t>
      </w:r>
    </w:p>
    <w:p w14:paraId="281C2CEA">
      <w:pPr>
        <w:keepNext w:val="0"/>
        <w:keepLines w:val="0"/>
        <w:pageBreakBefore w:val="0"/>
        <w:kinsoku/>
        <w:wordWrap/>
        <w:overflowPunct/>
        <w:topLinePunct w:val="0"/>
        <w:autoSpaceDE/>
        <w:autoSpaceDN/>
        <w:bidi w:val="0"/>
        <w:spacing w:line="560" w:lineRule="exact"/>
        <w:ind w:left="0" w:leftChars="0" w:firstLine="640" w:firstLineChars="200"/>
        <w:jc w:val="both"/>
        <w:textAlignment w:val="auto"/>
        <w:rPr>
          <w:rFonts w:hint="default" w:ascii="Times New Roman" w:hAnsi="Times New Roman" w:eastAsia="仿宋_GB2312" w:cs="Times New Roman"/>
          <w:sz w:val="32"/>
          <w:szCs w:val="32"/>
        </w:rPr>
      </w:pPr>
    </w:p>
    <w:p w14:paraId="5976924A">
      <w:pPr>
        <w:pStyle w:val="7"/>
        <w:keepNext w:val="0"/>
        <w:keepLines w:val="0"/>
        <w:pageBreakBefore w:val="0"/>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仿宋_GB2312" w:cs="Times New Roman"/>
          <w:sz w:val="32"/>
          <w:szCs w:val="32"/>
        </w:rPr>
      </w:pPr>
    </w:p>
    <w:p w14:paraId="70DB746E">
      <w:pPr>
        <w:keepNext w:val="0"/>
        <w:keepLines w:val="0"/>
        <w:pageBreakBefore w:val="0"/>
        <w:kinsoku/>
        <w:wordWrap/>
        <w:overflowPunct/>
        <w:topLinePunct w:val="0"/>
        <w:autoSpaceDE/>
        <w:autoSpaceDN/>
        <w:bidi w:val="0"/>
        <w:adjustRightInd/>
        <w:snapToGrid/>
        <w:spacing w:line="560" w:lineRule="exact"/>
        <w:ind w:left="0" w:leftChars="0" w:firstLine="640" w:firstLineChars="200"/>
        <w:jc w:val="righ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鸡西市生态环境局</w:t>
      </w:r>
    </w:p>
    <w:p w14:paraId="795E9A1E">
      <w:pPr>
        <w:keepNext w:val="0"/>
        <w:keepLines w:val="0"/>
        <w:pageBreakBefore w:val="0"/>
        <w:kinsoku/>
        <w:wordWrap/>
        <w:overflowPunct/>
        <w:topLinePunct w:val="0"/>
        <w:autoSpaceDE/>
        <w:autoSpaceDN/>
        <w:bidi w:val="0"/>
        <w:adjustRightInd/>
        <w:snapToGrid/>
        <w:spacing w:line="560" w:lineRule="exact"/>
        <w:ind w:left="0" w:leftChars="0" w:firstLine="640" w:firstLineChars="200"/>
        <w:jc w:val="righ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202</w:t>
      </w: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lang w:val="en-US" w:eastAsia="zh-CN"/>
        </w:rPr>
        <w:t>9</w:t>
      </w:r>
      <w:r>
        <w:rPr>
          <w:rFonts w:hint="default" w:ascii="Times New Roman" w:hAnsi="Times New Roman" w:eastAsia="仿宋_GB2312" w:cs="Times New Roman"/>
          <w:sz w:val="32"/>
          <w:szCs w:val="32"/>
        </w:rPr>
        <w:t>月</w:t>
      </w:r>
      <w:r>
        <w:rPr>
          <w:rFonts w:hint="default" w:ascii="Times New Roman" w:hAnsi="Times New Roman" w:eastAsia="仿宋_GB2312" w:cs="Times New Roman"/>
          <w:sz w:val="32"/>
          <w:szCs w:val="32"/>
          <w:lang w:val="en-US" w:eastAsia="zh-CN"/>
        </w:rPr>
        <w:t>11</w:t>
      </w:r>
      <w:r>
        <w:rPr>
          <w:rFonts w:hint="default" w:ascii="Times New Roman" w:hAnsi="Times New Roman" w:eastAsia="仿宋_GB2312" w:cs="Times New Roman"/>
          <w:sz w:val="32"/>
          <w:szCs w:val="32"/>
        </w:rPr>
        <w:t>日</w:t>
      </w:r>
    </w:p>
    <w:p w14:paraId="46E723BA">
      <w:pPr>
        <w:keepNext w:val="0"/>
        <w:keepLines w:val="0"/>
        <w:pageBreakBefore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仿宋_GB2312" w:cs="Times New Roman"/>
          <w:sz w:val="32"/>
          <w:szCs w:val="32"/>
        </w:rPr>
      </w:pPr>
    </w:p>
    <w:p w14:paraId="261DD9BD">
      <w:pPr>
        <w:keepNext w:val="0"/>
        <w:keepLines w:val="0"/>
        <w:pageBreakBefore w:val="0"/>
        <w:widowControl w:val="0"/>
        <w:pBdr>
          <w:top w:val="single" w:color="auto" w:sz="4" w:space="0"/>
          <w:bottom w:val="single" w:color="auto" w:sz="4" w:space="0"/>
        </w:pBdr>
        <w:kinsoku/>
        <w:wordWrap/>
        <w:overflowPunct/>
        <w:topLinePunct w:val="0"/>
        <w:autoSpaceDE/>
        <w:autoSpaceDN/>
        <w:bidi w:val="0"/>
        <w:adjustRightInd/>
        <w:snapToGrid/>
        <w:spacing w:line="560" w:lineRule="exact"/>
        <w:ind w:left="0" w:leftChars="0" w:firstLine="0" w:firstLineChars="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抄 送：鸡西市生</w:t>
      </w:r>
      <w:r>
        <w:rPr>
          <w:rFonts w:hint="default" w:ascii="Times New Roman" w:hAnsi="Times New Roman" w:eastAsia="仿宋_GB2312" w:cs="Times New Roman"/>
          <w:kern w:val="0"/>
          <w:sz w:val="32"/>
          <w:szCs w:val="32"/>
        </w:rPr>
        <w:t>态环境保护综合行政执法局</w:t>
      </w:r>
      <w:r>
        <w:rPr>
          <w:rFonts w:hint="default" w:ascii="Times New Roman" w:hAnsi="Times New Roman" w:eastAsia="仿宋_GB2312" w:cs="Times New Roman"/>
          <w:kern w:val="0"/>
          <w:sz w:val="32"/>
          <w:szCs w:val="32"/>
          <w:lang w:val="en-US" w:eastAsia="zh-CN"/>
        </w:rPr>
        <w:t xml:space="preserve">  </w:t>
      </w:r>
      <w:r>
        <w:rPr>
          <w:rFonts w:hint="default" w:ascii="Times New Roman" w:hAnsi="Times New Roman" w:eastAsia="仿宋_GB2312" w:cs="Times New Roman"/>
          <w:sz w:val="32"/>
          <w:szCs w:val="32"/>
        </w:rPr>
        <w:t>鸡西</w:t>
      </w:r>
      <w:r>
        <w:rPr>
          <w:rFonts w:hint="default" w:ascii="Times New Roman" w:hAnsi="Times New Roman" w:eastAsia="仿宋_GB2312" w:cs="Times New Roman"/>
          <w:sz w:val="32"/>
          <w:szCs w:val="32"/>
          <w:lang w:val="en-US" w:eastAsia="zh-CN"/>
        </w:rPr>
        <w:t>市</w:t>
      </w:r>
      <w:r>
        <w:rPr>
          <w:rFonts w:hint="default" w:ascii="Times New Roman" w:hAnsi="Times New Roman" w:eastAsia="仿宋_GB2312" w:cs="Times New Roman"/>
          <w:color w:val="auto"/>
          <w:sz w:val="32"/>
          <w:szCs w:val="32"/>
          <w:lang w:val="en-US" w:eastAsia="zh-CN"/>
        </w:rPr>
        <w:t>密山</w:t>
      </w:r>
      <w:r>
        <w:rPr>
          <w:rFonts w:hint="default" w:ascii="Times New Roman" w:hAnsi="Times New Roman" w:eastAsia="仿宋_GB2312" w:cs="Times New Roman"/>
          <w:sz w:val="32"/>
          <w:szCs w:val="32"/>
        </w:rPr>
        <w:t>生态环境局</w:t>
      </w:r>
    </w:p>
    <w:p w14:paraId="121453F0">
      <w:pPr>
        <w:keepNext w:val="0"/>
        <w:keepLines w:val="0"/>
        <w:pageBreakBefore w:val="0"/>
        <w:widowControl w:val="0"/>
        <w:pBdr>
          <w:bottom w:val="single" w:color="auto" w:sz="4" w:space="0"/>
        </w:pBdr>
        <w:kinsoku/>
        <w:wordWrap/>
        <w:overflowPunct/>
        <w:topLinePunct w:val="0"/>
        <w:autoSpaceDE/>
        <w:autoSpaceDN/>
        <w:bidi w:val="0"/>
        <w:adjustRightInd/>
        <w:snapToGrid/>
        <w:spacing w:line="560" w:lineRule="exact"/>
        <w:ind w:left="0" w:leftChars="0" w:firstLine="0" w:firstLineChars="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鸡西市生态环境局办公室</w:t>
      </w:r>
      <w:r>
        <w:rPr>
          <w:rFonts w:hint="default" w:ascii="Times New Roman" w:hAnsi="Times New Roman" w:eastAsia="仿宋_GB2312" w:cs="Times New Roman"/>
          <w:sz w:val="32"/>
          <w:szCs w:val="32"/>
          <w:lang w:eastAsia="zh-CN"/>
        </w:rPr>
        <w:t>（法规科）</w:t>
      </w:r>
      <w:r>
        <w:rPr>
          <w:rFonts w:hint="default" w:ascii="Times New Roman" w:hAnsi="Times New Roman" w:eastAsia="仿宋_GB2312" w:cs="Times New Roman"/>
          <w:sz w:val="32"/>
          <w:szCs w:val="32"/>
        </w:rPr>
        <w:t xml:space="preserve"> 202</w:t>
      </w: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lang w:val="en-US" w:eastAsia="zh-CN"/>
        </w:rPr>
        <w:t>9</w:t>
      </w:r>
      <w:r>
        <w:rPr>
          <w:rFonts w:hint="default" w:ascii="Times New Roman" w:hAnsi="Times New Roman" w:eastAsia="仿宋_GB2312" w:cs="Times New Roman"/>
          <w:kern w:val="0"/>
          <w:sz w:val="32"/>
          <w:szCs w:val="32"/>
        </w:rPr>
        <w:t>月</w:t>
      </w:r>
      <w:r>
        <w:rPr>
          <w:rFonts w:hint="default" w:ascii="Times New Roman" w:hAnsi="Times New Roman" w:eastAsia="仿宋_GB2312" w:cs="Times New Roman"/>
          <w:kern w:val="0"/>
          <w:sz w:val="32"/>
          <w:szCs w:val="32"/>
          <w:lang w:val="en-US" w:eastAsia="zh-CN"/>
        </w:rPr>
        <w:t>11</w:t>
      </w:r>
      <w:r>
        <w:rPr>
          <w:rFonts w:hint="default" w:ascii="Times New Roman" w:hAnsi="Times New Roman" w:eastAsia="仿宋_GB2312" w:cs="Times New Roman"/>
          <w:kern w:val="0"/>
          <w:sz w:val="32"/>
          <w:szCs w:val="32"/>
        </w:rPr>
        <w:t>日</w:t>
      </w:r>
      <w:r>
        <w:rPr>
          <w:rFonts w:hint="default" w:ascii="Times New Roman" w:hAnsi="Times New Roman" w:eastAsia="仿宋_GB2312" w:cs="Times New Roman"/>
          <w:sz w:val="32"/>
          <w:szCs w:val="32"/>
        </w:rPr>
        <w:t>印发</w:t>
      </w:r>
    </w:p>
    <w:p w14:paraId="170D5C1B">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righ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共印8份</w:t>
      </w: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方正书宋_GBK"/>
    <w:panose1 w:val="02010600030101010101"/>
    <w:charset w:val="86"/>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微软雅黑">
    <w:altName w:val="黑体"/>
    <w:panose1 w:val="00000000000000000000"/>
    <w:charset w:val="00"/>
    <w:family w:val="auto"/>
    <w:pitch w:val="default"/>
    <w:sig w:usb0="00000000" w:usb1="00000000" w:usb2="00000000" w:usb3="00000000" w:csb0="00000000" w:csb1="00000000"/>
  </w:font>
  <w:font w:name="Tahoma">
    <w:altName w:val="noto sans thai"/>
    <w:panose1 w:val="00000000000000000000"/>
    <w:charset w:val="00"/>
    <w:family w:val="auto"/>
    <w:pitch w:val="default"/>
    <w:sig w:usb0="00000000" w:usb1="00000000" w:usb2="00000000" w:usb3="00000000" w:csb0="00000000" w:csb1="00000000"/>
  </w:font>
  <w:font w:name="noto sans thai">
    <w:panose1 w:val="020B0502040504020204"/>
    <w:charset w:val="00"/>
    <w:family w:val="auto"/>
    <w:pitch w:val="default"/>
    <w:sig w:usb0="81000063" w:usb1="00002000" w:usb2="00000000" w:usb3="00000000" w:csb0="00010000" w:csb1="00000000"/>
  </w:font>
  <w:font w:name="Wingdings 3">
    <w:panose1 w:val="05040102010807070707"/>
    <w:charset w:val="00"/>
    <w:family w:val="auto"/>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961FCE">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76200" cy="131445"/>
              <wp:effectExtent l="0" t="0" r="0" b="0"/>
              <wp:wrapNone/>
              <wp:docPr id="1" name="文本框 1"/>
              <wp:cNvGraphicFramePr/>
              <a:graphic xmlns:a="http://schemas.openxmlformats.org/drawingml/2006/main">
                <a:graphicData uri="http://schemas.microsoft.com/office/word/2010/wordprocessingShape">
                  <wps:wsp>
                    <wps:cNvSpPr/>
                    <wps:spPr>
                      <a:xfrm>
                        <a:off x="0" y="0"/>
                        <a:ext cx="76200" cy="131445"/>
                      </a:xfrm>
                      <a:prstGeom prst="rect">
                        <a:avLst/>
                      </a:prstGeom>
                      <a:noFill/>
                      <a:ln w="9525" cap="flat" cmpd="sng">
                        <a:noFill/>
                        <a:prstDash val="solid"/>
                        <a:round/>
                      </a:ln>
                    </wps:spPr>
                    <wps:txbx>
                      <w:txbxContent>
                        <w:p w14:paraId="19983C3B">
                          <w:pPr>
                            <w:pStyle w:val="11"/>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vert="horz" wrap="none" lIns="0" tIns="0" rIns="0" bIns="0" anchor="t" anchorCtr="0" upright="0">
                      <a:spAutoFit/>
                    </wps:bodyPr>
                  </wps:wsp>
                </a:graphicData>
              </a:graphic>
            </wp:anchor>
          </w:drawing>
        </mc:Choice>
        <mc:Fallback>
          <w:pict>
            <v:rect id="文本框 1" o:spid="_x0000_s1026" o:spt="1" style="position:absolute;left:0pt;margin-top:0pt;height:10.35pt;width:6pt;mso-position-horizontal:center;mso-position-horizontal-relative:margin;mso-wrap-style:none;z-index:251659264;mso-width-relative:page;mso-height-relative:page;" filled="f" stroked="f" coordsize="21600,21600" o:gfxdata="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Cntpqi0AAAAAMBAAAPAAAAAAAAAAEAIAAAACIAAABkcnMvZG93bnJldi54&#10;bWxQSwECFAAUAAAACACHTuJA3iJrBQICAADzAwAADgAAAAAAAAABACAAAAAfAQAAZHJzL2Uyb0Rv&#10;Yy54bWxQSwUGAAAAAAYABgBZAQAAkwUAAAAA&#10;">
              <v:fill on="f" focussize="0,0"/>
              <v:stroke on="f" joinstyle="round"/>
              <v:imagedata o:title=""/>
              <o:lock v:ext="edit" aspectratio="f"/>
              <v:textbox inset="0mm,0mm,0mm,0mm" style="mso-fit-shape-to-text:t;">
                <w:txbxContent>
                  <w:p w14:paraId="19983C3B">
                    <w:pPr>
                      <w:pStyle w:val="11"/>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FFC31E2"/>
    <w:multiLevelType w:val="singleLevel"/>
    <w:tmpl w:val="DFFC31E2"/>
    <w:lvl w:ilvl="0" w:tentative="0">
      <w:start w:val="1"/>
      <w:numFmt w:val="bullet"/>
      <w:pStyle w:val="10"/>
      <w:lvlText w:val=""/>
      <w:lvlJc w:val="left"/>
      <w:pPr>
        <w:tabs>
          <w:tab w:val="left" w:pos="2040"/>
        </w:tabs>
        <w:ind w:left="204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
  <w:docVars>
    <w:docVar w:name="commondata" w:val="eyJoZGlkIjoiOTZkYTY0YzY2NWYyNzQ0NTEzMmJlMWQ5ZTU0MzcwMTEifQ=="/>
  </w:docVars>
  <w:rsids>
    <w:rsidRoot w:val="00000000"/>
    <w:rsid w:val="026305F6"/>
    <w:rsid w:val="16ADB038"/>
    <w:rsid w:val="1D79498D"/>
    <w:rsid w:val="24AD42C8"/>
    <w:rsid w:val="2FDDA564"/>
    <w:rsid w:val="32DF1C9A"/>
    <w:rsid w:val="3AEB541F"/>
    <w:rsid w:val="4FE14379"/>
    <w:rsid w:val="5BDC0AF8"/>
    <w:rsid w:val="5BF82E46"/>
    <w:rsid w:val="5C03530A"/>
    <w:rsid w:val="5FD36834"/>
    <w:rsid w:val="617F4E6E"/>
    <w:rsid w:val="62FE9AD5"/>
    <w:rsid w:val="6BFDB92B"/>
    <w:rsid w:val="6D7E0B3C"/>
    <w:rsid w:val="6F8389DD"/>
    <w:rsid w:val="6FFEE3E5"/>
    <w:rsid w:val="77DF75B1"/>
    <w:rsid w:val="77FF2149"/>
    <w:rsid w:val="77FF607B"/>
    <w:rsid w:val="78FC1A15"/>
    <w:rsid w:val="7B57B9BE"/>
    <w:rsid w:val="7C6846F6"/>
    <w:rsid w:val="7DCFC69E"/>
    <w:rsid w:val="7DF5B1B7"/>
    <w:rsid w:val="7F78DBBB"/>
    <w:rsid w:val="7FF324FC"/>
    <w:rsid w:val="9F7F5CB5"/>
    <w:rsid w:val="ADFDDEFD"/>
    <w:rsid w:val="B40D77AC"/>
    <w:rsid w:val="BEE7A6FF"/>
    <w:rsid w:val="BEFE0F26"/>
    <w:rsid w:val="C0741FAD"/>
    <w:rsid w:val="CB66E200"/>
    <w:rsid w:val="DBF71B58"/>
    <w:rsid w:val="DEFD280E"/>
    <w:rsid w:val="EE9E1132"/>
    <w:rsid w:val="EFD56F21"/>
    <w:rsid w:val="EFEB49B1"/>
    <w:rsid w:val="F3AD0ED9"/>
    <w:rsid w:val="F3EF6B70"/>
    <w:rsid w:val="F7825E57"/>
    <w:rsid w:val="F9775AB4"/>
    <w:rsid w:val="FA7F179C"/>
    <w:rsid w:val="FBDD4198"/>
    <w:rsid w:val="FE6E3D07"/>
    <w:rsid w:val="FE7FA4DF"/>
    <w:rsid w:val="FECD88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qFormat="1"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link w:val="19"/>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20"/>
    <w:qFormat/>
    <w:uiPriority w:val="0"/>
    <w:pPr>
      <w:keepNext/>
      <w:keepLines/>
      <w:spacing w:before="260" w:after="260" w:line="415" w:lineRule="auto"/>
      <w:outlineLvl w:val="1"/>
    </w:pPr>
    <w:rPr>
      <w:rFonts w:ascii="Times New Roman" w:hAnsi="Times New Roman" w:eastAsia="黑体"/>
      <w:b/>
      <w:bCs/>
      <w:sz w:val="32"/>
      <w:szCs w:val="32"/>
    </w:rPr>
  </w:style>
  <w:style w:type="paragraph" w:styleId="4">
    <w:name w:val="heading 3"/>
    <w:basedOn w:val="1"/>
    <w:next w:val="1"/>
    <w:link w:val="21"/>
    <w:qFormat/>
    <w:uiPriority w:val="0"/>
    <w:pPr>
      <w:keepNext/>
      <w:keepLines/>
      <w:spacing w:before="260" w:after="260" w:line="415" w:lineRule="auto"/>
      <w:outlineLvl w:val="2"/>
    </w:pPr>
    <w:rPr>
      <w:b/>
      <w:bCs/>
      <w:sz w:val="32"/>
      <w:szCs w:val="32"/>
    </w:rPr>
  </w:style>
  <w:style w:type="character" w:default="1" w:styleId="18">
    <w:name w:val="Default Paragraph Font"/>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Body Text"/>
    <w:basedOn w:val="1"/>
    <w:next w:val="7"/>
    <w:qFormat/>
    <w:uiPriority w:val="0"/>
    <w:rPr>
      <w:spacing w:val="22"/>
      <w:sz w:val="24"/>
      <w:szCs w:val="24"/>
    </w:rPr>
  </w:style>
  <w:style w:type="paragraph" w:customStyle="1" w:styleId="7">
    <w:name w:val="Normal (Web)1"/>
    <w:basedOn w:val="1"/>
    <w:next w:val="8"/>
    <w:qFormat/>
    <w:uiPriority w:val="0"/>
    <w:pPr>
      <w:widowControl/>
      <w:jc w:val="left"/>
    </w:pPr>
    <w:rPr>
      <w:rFonts w:ascii="宋体"/>
      <w:kern w:val="0"/>
      <w:sz w:val="24"/>
      <w:szCs w:val="21"/>
    </w:rPr>
  </w:style>
  <w:style w:type="paragraph" w:customStyle="1" w:styleId="8">
    <w:name w:val="Date1"/>
    <w:basedOn w:val="1"/>
    <w:next w:val="1"/>
    <w:qFormat/>
    <w:uiPriority w:val="99"/>
    <w:pPr>
      <w:ind w:left="2500" w:leftChars="2500"/>
    </w:pPr>
  </w:style>
  <w:style w:type="paragraph" w:styleId="9">
    <w:name w:val="Body Text Indent"/>
    <w:basedOn w:val="1"/>
    <w:qFormat/>
    <w:uiPriority w:val="0"/>
    <w:pPr>
      <w:spacing w:after="120"/>
      <w:ind w:left="420"/>
    </w:pPr>
  </w:style>
  <w:style w:type="paragraph" w:styleId="10">
    <w:name w:val="List Bullet 5"/>
    <w:basedOn w:val="1"/>
    <w:qFormat/>
    <w:uiPriority w:val="0"/>
    <w:pPr>
      <w:numPr>
        <w:ilvl w:val="0"/>
        <w:numId w:val="1"/>
      </w:numPr>
    </w:p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3">
    <w:name w:val="toc 2"/>
    <w:basedOn w:val="1"/>
    <w:next w:val="1"/>
    <w:qFormat/>
    <w:uiPriority w:val="0"/>
    <w:pPr>
      <w:widowControl/>
      <w:spacing w:after="100" w:line="276" w:lineRule="auto"/>
      <w:ind w:left="220"/>
      <w:jc w:val="left"/>
    </w:pPr>
    <w:rPr>
      <w:rFonts w:ascii="Calibri" w:hAnsi="Calibri"/>
      <w:kern w:val="0"/>
      <w:sz w:val="22"/>
      <w:szCs w:val="22"/>
    </w:rPr>
  </w:style>
  <w:style w:type="paragraph" w:styleId="14">
    <w:name w:val="Normal (Web)"/>
    <w:basedOn w:val="1"/>
    <w:qFormat/>
    <w:uiPriority w:val="0"/>
    <w:pPr>
      <w:spacing w:beforeAutospacing="1" w:afterAutospacing="1"/>
      <w:jc w:val="left"/>
    </w:pPr>
    <w:rPr>
      <w:kern w:val="0"/>
      <w:sz w:val="24"/>
    </w:rPr>
  </w:style>
  <w:style w:type="paragraph" w:styleId="15">
    <w:name w:val="Body Text First Indent"/>
    <w:basedOn w:val="6"/>
    <w:next w:val="1"/>
    <w:qFormat/>
    <w:uiPriority w:val="0"/>
    <w:pPr>
      <w:ind w:firstLine="100" w:firstLineChars="100"/>
    </w:pPr>
    <w:rPr>
      <w:rFonts w:ascii="Times New Roman" w:hAnsi="Times New Roman"/>
      <w:szCs w:val="24"/>
    </w:rPr>
  </w:style>
  <w:style w:type="paragraph" w:styleId="16">
    <w:name w:val="Body Text First Indent 2"/>
    <w:basedOn w:val="9"/>
    <w:qFormat/>
    <w:uiPriority w:val="0"/>
    <w:pPr>
      <w:ind w:firstLine="420"/>
    </w:pPr>
  </w:style>
  <w:style w:type="character" w:customStyle="1" w:styleId="19">
    <w:name w:val="heading 1 Char"/>
    <w:basedOn w:val="18"/>
    <w:link w:val="2"/>
    <w:qFormat/>
    <w:uiPriority w:val="0"/>
    <w:rPr>
      <w:rFonts w:ascii="Times New Roman" w:hAnsi="Times New Roman" w:eastAsia="宋体" w:cs="Times New Roman"/>
      <w:b/>
      <w:bCs/>
      <w:kern w:val="44"/>
      <w:sz w:val="44"/>
      <w:szCs w:val="44"/>
      <w:lang w:val="en-US" w:eastAsia="zh-CN" w:bidi="ar-SA"/>
    </w:rPr>
  </w:style>
  <w:style w:type="character" w:customStyle="1" w:styleId="20">
    <w:name w:val="heading 2 Char"/>
    <w:basedOn w:val="18"/>
    <w:link w:val="3"/>
    <w:qFormat/>
    <w:uiPriority w:val="0"/>
    <w:rPr>
      <w:rFonts w:ascii="Times New Roman" w:hAnsi="Times New Roman" w:eastAsia="黑体" w:cs="Times New Roman"/>
      <w:b/>
      <w:bCs/>
      <w:kern w:val="2"/>
      <w:sz w:val="32"/>
      <w:szCs w:val="32"/>
      <w:lang w:val="en-US" w:eastAsia="zh-CN" w:bidi="ar-SA"/>
    </w:rPr>
  </w:style>
  <w:style w:type="character" w:customStyle="1" w:styleId="21">
    <w:name w:val="heading 3 Char"/>
    <w:basedOn w:val="18"/>
    <w:link w:val="4"/>
    <w:qFormat/>
    <w:uiPriority w:val="0"/>
    <w:rPr>
      <w:rFonts w:ascii="Times New Roman" w:hAnsi="Times New Roman" w:eastAsia="宋体" w:cs="Times New Roman"/>
      <w:b/>
      <w:bCs/>
      <w:kern w:val="2"/>
      <w:sz w:val="32"/>
      <w:szCs w:val="32"/>
      <w:lang w:val="en-US" w:eastAsia="zh-CN" w:bidi="ar-SA"/>
    </w:rPr>
  </w:style>
  <w:style w:type="paragraph" w:customStyle="1" w:styleId="22">
    <w:name w:val="报告表  段"/>
    <w:basedOn w:val="1"/>
    <w:qFormat/>
    <w:uiPriority w:val="0"/>
    <w:pPr>
      <w:adjustRightInd w:val="0"/>
      <w:spacing w:line="360" w:lineRule="auto"/>
      <w:ind w:firstLine="505"/>
    </w:pPr>
    <w:rPr>
      <w:rFonts w:ascii="Calibri" w:hAnsi="Calibri" w:cs="宋体"/>
    </w:rPr>
  </w:style>
  <w:style w:type="paragraph" w:styleId="23">
    <w:name w:val="List Paragraph"/>
    <w:basedOn w:val="1"/>
    <w:qFormat/>
    <w:uiPriority w:val="0"/>
    <w:pPr>
      <w:ind w:firstLine="200" w:firstLineChars="200"/>
    </w:pPr>
  </w:style>
  <w:style w:type="paragraph" w:customStyle="1" w:styleId="24">
    <w:name w:val="表格(新)"/>
    <w:basedOn w:val="1"/>
    <w:qFormat/>
    <w:uiPriority w:val="0"/>
    <w:pPr>
      <w:adjustRightInd w:val="0"/>
      <w:snapToGrid w:val="0"/>
      <w:spacing w:line="240" w:lineRule="auto"/>
      <w:ind w:firstLine="0"/>
      <w:jc w:val="center"/>
    </w:pPr>
    <w:rPr>
      <w:rFonts w:hAnsi="宋体" w:eastAsia="宋体"/>
      <w:sz w:val="21"/>
      <w:szCs w:val="21"/>
    </w:rPr>
  </w:style>
  <w:style w:type="paragraph" w:customStyle="1" w:styleId="25">
    <w:name w:val="a正文"/>
    <w:basedOn w:val="26"/>
    <w:qFormat/>
    <w:uiPriority w:val="0"/>
    <w:pPr>
      <w:spacing w:line="520" w:lineRule="exact"/>
      <w:ind w:firstLine="200" w:firstLineChars="200"/>
    </w:pPr>
    <w:rPr>
      <w:kern w:val="0"/>
      <w:sz w:val="24"/>
      <w:szCs w:val="21"/>
    </w:rPr>
  </w:style>
  <w:style w:type="paragraph" w:customStyle="1" w:styleId="26">
    <w:name w:val="正文格式"/>
    <w:basedOn w:val="1"/>
    <w:qFormat/>
    <w:uiPriority w:val="0"/>
    <w:pPr>
      <w:ind w:firstLine="482"/>
    </w:pPr>
  </w:style>
  <w:style w:type="paragraph" w:customStyle="1" w:styleId="27">
    <w:name w:val="表表头"/>
    <w:basedOn w:val="1"/>
    <w:qFormat/>
    <w:uiPriority w:val="0"/>
    <w:pPr>
      <w:ind w:firstLine="0" w:firstLineChars="0"/>
      <w:jc w:val="center"/>
    </w:pPr>
    <w:rPr>
      <w:rFonts w:eastAsia="黑体"/>
    </w:rPr>
  </w:style>
  <w:style w:type="paragraph" w:customStyle="1" w:styleId="28">
    <w:name w:val="Table Text"/>
    <w:basedOn w:val="1"/>
    <w:semiHidden/>
    <w:qFormat/>
    <w:uiPriority w:val="0"/>
    <w:rPr>
      <w:rFonts w:ascii="宋体" w:hAnsi="宋体" w:cs="宋体"/>
      <w:sz w:val="24"/>
      <w:lang w:eastAsia="en-US"/>
    </w:rPr>
  </w:style>
  <w:style w:type="paragraph" w:customStyle="1" w:styleId="29">
    <w:name w:val="表格内容格式"/>
    <w:next w:val="30"/>
    <w:qFormat/>
    <w:uiPriority w:val="0"/>
    <w:pPr>
      <w:widowControl w:val="0"/>
      <w:adjustRightInd w:val="0"/>
      <w:snapToGrid w:val="0"/>
      <w:spacing w:line="360" w:lineRule="exact"/>
      <w:jc w:val="center"/>
    </w:pPr>
    <w:rPr>
      <w:rFonts w:ascii="Times New Roman" w:hAnsi="Times New Roman" w:eastAsia="宋体" w:cs="Times New Roman"/>
      <w:sz w:val="21"/>
      <w:szCs w:val="21"/>
      <w:lang w:val="en-US" w:eastAsia="zh-CN" w:bidi="ar-SA"/>
    </w:rPr>
  </w:style>
  <w:style w:type="paragraph" w:customStyle="1" w:styleId="30">
    <w:name w:val="表格文字"/>
    <w:basedOn w:val="6"/>
    <w:qFormat/>
    <w:uiPriority w:val="0"/>
    <w:pPr>
      <w:ind w:firstLine="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3.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主题">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主题">
      <a:majorFont>
        <a:latin typeface=""/>
        <a:ea typeface=""/>
        <a:cs typeface=""/>
      </a:majorFont>
      <a:minorFont>
        <a:latin typeface=""/>
        <a:ea typeface=""/>
        <a:cs typeface=""/>
      </a:minorFont>
    </a:fontScheme>
    <a:fmtScheme name="Office 主题">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1"/>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1"/>
        </a:gradFill>
      </a:fillStyleLst>
      <a:lnStyleLst>
        <a:ln w="6350" cap="flat" cmpd="sng">
          <a:solidFill>
            <a:schemeClr val="phClr"/>
          </a:solidFill>
          <a:prstDash val="solid"/>
          <a:miter/>
        </a:ln>
        <a:ln w="12700" cap="flat" cmpd="sng">
          <a:solidFill>
            <a:schemeClr val="phClr"/>
          </a:solidFill>
          <a:prstDash val="solid"/>
          <a:miter/>
        </a:ln>
        <a:ln w="19050" cap="flat" cmpd="sng">
          <a:solidFill>
            <a:schemeClr val="phClr"/>
          </a:solidFill>
          <a:prstDash val="solid"/>
          <a:miter/>
        </a:ln>
      </a:lnStyleLst>
      <a:effectStyleLst>
        <a:effectStyle>
          <a:effectLst/>
        </a:effectStyle>
        <a:effectStyle>
          <a:effectLst/>
        </a:effectStyle>
        <a:effectStyle>
          <a:effectLst>
            <a:outerShdw blurRad="57150" dist="19050" dir="5400000" algn="ctr" rotWithShape="0">
              <a:srgbClr val="000000">
                <a:alpha val="62745"/>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1"/>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b06f71e7-3ed1-4238-b3cc-2111bd86f41a</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63D22AB6</paraID>
      <start xmlns="http://schemas.wps.cn/vas-ai-hub/contract-review">22</start>
      <end xmlns="http://schemas.wps.cn/vas-ai-hub/contract-review">23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2a93f128-d8cb-4c78-a42b-6fe98ba3facb</errorID>
      <errorWord xmlns="http://schemas.wps.cn/vas-ai-hub/contract-review">作为</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供</item>
      </candidateList>
      <explain xmlns="http://schemas.wps.cn/vas-ai-hub/contract-review"/>
      <paraID xmlns="http://schemas.wps.cn/vas-ai-hub/contract-review">63D22AB6</paraID>
      <start xmlns="http://schemas.wps.cn/vas-ai-hub/contract-review">142</start>
      <end xmlns="http://schemas.wps.cn/vas-ai-hub/contract-review">143</end>
      <status xmlns="http://schemas.wps.cn/vas-ai-hub/contract-review">modified</status>
      <modifiedWord xmlns="http://schemas.wps.cn/vas-ai-hub/contract-review">供</modifiedWord>
      <trackRevisions xmlns="http://schemas.wps.cn/vas-ai-hub/contract-review">false</trackRevisions>
    </reviewItem>
    <reviewItem xmlns="http://schemas.wps.cn/vas-ai-hub/contract-review">
      <errorID xmlns="http://schemas.wps.cn/vas-ai-hub/contract-review">a8bc8568-a6e1-492b-bfe7-9fecf639a416</errorID>
      <errorWord xmlns="http://schemas.wps.cn/vas-ai-hub/contract-review">部分</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运送部分</item>
      </candidateList>
      <explain xmlns="http://schemas.wps.cn/vas-ai-hub/contract-review"/>
      <paraID xmlns="http://schemas.wps.cn/vas-ai-hub/contract-review">63D22AB6</paraID>
      <start xmlns="http://schemas.wps.cn/vas-ai-hub/contract-review">153</start>
      <end xmlns="http://schemas.wps.cn/vas-ai-hub/contract-review">155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50b21b8f-b2d7-4e8b-9eff-7f6280e0af62</errorID>
      <errorWord xmlns="http://schemas.wps.cn/vas-ai-hub/contract-review">纸</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纸箱</item>
      </candidateList>
      <explain xmlns="http://schemas.wps.cn/vas-ai-hub/contract-review"/>
      <paraID xmlns="http://schemas.wps.cn/vas-ai-hub/contract-review">4EB333FC</paraID>
      <start xmlns="http://schemas.wps.cn/vas-ai-hub/contract-review">270</start>
      <end xmlns="http://schemas.wps.cn/vas-ai-hub/contract-review">272</end>
      <status xmlns="http://schemas.wps.cn/vas-ai-hub/contract-review">modified</status>
      <modifiedWord xmlns="http://schemas.wps.cn/vas-ai-hub/contract-review">纸箱</modifiedWord>
      <trackRevisions xmlns="http://schemas.wps.cn/vas-ai-hub/contract-review">false</trackRevisions>
    </reviewItem>
    <reviewItem xmlns="http://schemas.wps.cn/vas-ai-hub/contract-review">
      <errorID xmlns="http://schemas.wps.cn/vas-ai-hub/contract-review">0c6f8c59-32e6-449c-8454-8df10e6b45fc</errorID>
      <errorWord xmlns="http://schemas.wps.cn/vas-ai-hub/contract-review">GB12348</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GB 12348</item>
      </candidateList>
      <explain xmlns="http://schemas.wps.cn/vas-ai-hub/contract-review"/>
      <paraID xmlns="http://schemas.wps.cn/vas-ai-hub/contract-review">3254E41D</paraID>
      <start xmlns="http://schemas.wps.cn/vas-ai-hub/contract-review">63</start>
      <end xmlns="http://schemas.wps.cn/vas-ai-hub/contract-review">70</end>
      <status xmlns="http://schemas.wps.cn/vas-ai-hub/contract-review">unmodified</status>
      <modifiedWord xmlns="http://schemas.wps.cn/vas-ai-hub/contract-review"/>
      <trackRevisions xmlns="http://schemas.wps.cn/vas-ai-hub/contract-review">false</trackRevisions>
    </reviewItem>
  </reviewItems>
  <config xmlns="http://schemas.wps.cn/vas-ai-hub/contract-review"/>
</contractReview>
</file>

<file path=customXml/item3.xml><?xml version="1.0" encoding="utf-8"?>
<customData xmlns="http://www.yozosoft.com.cn/officeDocument/2016/customData">
  <customProps xmlns="http://www.yozosoft.com.cn/officeDocument/2016/customData">
    <docPr xmlns="http://www.yozosoft.com.cn/officeDocument/2016/customData" revisions="3 0 5 0 0 0 1 0 0 0 3000 0 1 1 1 1"/>
    <sectPr xmlns="http://www.yozosoft.com.cn/officeDocument/2016/customData"/>
  </customProps>
</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d20527c-3e44-4e61-a9d1-228b358667df}">
  <ds:schemaRefs/>
</ds:datastoreItem>
</file>

<file path=customXml/itemProps3.xml><?xml version="1.0" encoding="utf-8"?>
<ds:datastoreItem xmlns:ds="http://schemas.openxmlformats.org/officeDocument/2006/customXml" ds:itemID="{039D5603-4914-4C7A-AB44-3528050B5644}">
  <ds:schemaRefs/>
</ds:datastoreItem>
</file>

<file path=docProps/app.xml><?xml version="1.0" encoding="utf-8"?>
<Properties xmlns="http://schemas.openxmlformats.org/officeDocument/2006/extended-properties" xmlns:vt="http://schemas.openxmlformats.org/officeDocument/2006/docPropsVTypes">
  <Template>Normal.eit</Template>
  <Company>Microsoft</Company>
  <Pages>5</Pages>
  <Words>2162</Words>
  <Characters>2366</Characters>
  <Lines>0</Lines>
  <Paragraphs>42</Paragraphs>
  <TotalTime>2</TotalTime>
  <ScaleCrop>false</ScaleCrop>
  <LinksUpToDate>false</LinksUpToDate>
  <CharactersWithSpaces>2433</CharactersWithSpaces>
  <Application>WPS Office_12.8.2.1119_F1E327BC-269C-435d-A152-05C5408002CA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2024-08-17T11:25:00Z</dcterms:created>
  <dc:creator>01</dc:creator>
  <cp:lastModifiedBy>greatwall</cp:lastModifiedBy>
  <cp:lastPrinted>2026-09-10T13:15:58Z</cp:lastPrinted>
  <dcterms:modified xsi:type="dcterms:W3CDTF">2026-09-10T13:16:46Z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C94AA2778CBAEEE5CD18A26ADBE8414B_43</vt:lpwstr>
  </property>
  <property fmtid="{D5CDD505-2E9C-101B-9397-08002B2CF9AE}" pid="4" name="KSOTemplateDocerSaveRecord">
    <vt:lpwstr>eyJoZGlkIjoiNTIyM2MzZTI4YmIyYmViNzIxNTA5MGI2YWNmNWRlNmQiLCJ1c2VySWQiOiI0MzQ5NzAwNzIifQ==</vt:lpwstr>
  </property>
</Properties>
</file>